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0F9663">
      <w:pPr>
        <w:pStyle w:val="9"/>
        <w:snapToGrid w:val="0"/>
        <w:ind w:right="31" w:rightChars="15"/>
        <w:jc w:val="center"/>
        <w:rPr>
          <w:rFonts w:hint="eastAsia" w:ascii="MiSans Light" w:hAnsi="MiSans Light" w:eastAsia="MiSans Light" w:cs="黑体"/>
          <w:b/>
          <w:bCs/>
          <w:sz w:val="48"/>
          <w:szCs w:val="48"/>
        </w:rPr>
      </w:pPr>
      <w:r>
        <w:rPr>
          <w:rFonts w:hint="eastAsia" w:cs="宋体"/>
          <w:sz w:val="24"/>
          <w:szCs w:val="24"/>
        </w:rPr>
        <w:tab/>
      </w:r>
      <w:r>
        <w:rPr>
          <w:rFonts w:hint="eastAsia" w:ascii="MiSans Light" w:hAnsi="MiSans Light" w:eastAsia="MiSans Light" w:cs="黑体"/>
          <w:b/>
          <w:bCs/>
          <w:sz w:val="48"/>
          <w:szCs w:val="48"/>
        </w:rPr>
        <w:t>福建科达新能源科技有限公司</w:t>
      </w:r>
    </w:p>
    <w:p w14:paraId="5B3977AD">
      <w:pPr>
        <w:pStyle w:val="9"/>
        <w:snapToGrid w:val="0"/>
        <w:ind w:right="31" w:rightChars="15"/>
        <w:jc w:val="center"/>
        <w:rPr>
          <w:rFonts w:hint="eastAsia" w:ascii="MiSans Light" w:hAnsi="MiSans Light" w:eastAsia="MiSans Light" w:cs="黑体"/>
          <w:b/>
          <w:bCs/>
          <w:sz w:val="32"/>
          <w:szCs w:val="32"/>
        </w:rPr>
      </w:pPr>
    </w:p>
    <w:p w14:paraId="7D49AB33">
      <w:pPr>
        <w:pStyle w:val="9"/>
        <w:snapToGrid w:val="0"/>
        <w:ind w:right="-197" w:rightChars="-94"/>
        <w:jc w:val="center"/>
        <w:rPr>
          <w:rFonts w:hint="eastAsia" w:ascii="MiSans Light" w:hAnsi="MiSans Light" w:eastAsia="MiSans Light" w:cs="黑体"/>
          <w:b/>
          <w:bCs/>
          <w:sz w:val="32"/>
          <w:szCs w:val="32"/>
        </w:rPr>
      </w:pPr>
      <w:r>
        <w:rPr>
          <w:rFonts w:hint="eastAsia" w:ascii="MiSans Light" w:hAnsi="MiSans Light" w:eastAsia="MiSans Light" w:cs="黑体"/>
          <w:b/>
          <w:bCs/>
          <w:sz w:val="32"/>
          <w:szCs w:val="32"/>
          <w:lang w:val="en-US" w:eastAsia="zh-CN"/>
        </w:rPr>
        <w:t>铜铝废旧物资售卖</w:t>
      </w:r>
      <w:r>
        <w:rPr>
          <w:rFonts w:hint="eastAsia" w:ascii="MiSans Light" w:hAnsi="MiSans Light" w:eastAsia="MiSans Light" w:cs="黑体"/>
          <w:b/>
          <w:bCs/>
          <w:sz w:val="32"/>
          <w:szCs w:val="32"/>
        </w:rPr>
        <w:t>招标项目</w:t>
      </w:r>
    </w:p>
    <w:p w14:paraId="61A14546">
      <w:pPr>
        <w:pStyle w:val="9"/>
        <w:snapToGrid w:val="0"/>
        <w:ind w:right="-197" w:rightChars="-94"/>
        <w:jc w:val="center"/>
        <w:rPr>
          <w:rFonts w:hint="eastAsia" w:ascii="MiSans Light" w:hAnsi="MiSans Light" w:eastAsia="MiSans Light"/>
          <w:b/>
          <w:bCs/>
          <w:sz w:val="40"/>
          <w:szCs w:val="40"/>
        </w:rPr>
      </w:pPr>
    </w:p>
    <w:p w14:paraId="2B73734D">
      <w:pPr>
        <w:pStyle w:val="9"/>
        <w:snapToGrid w:val="0"/>
        <w:ind w:right="-197" w:rightChars="-94"/>
        <w:jc w:val="center"/>
        <w:rPr>
          <w:rFonts w:ascii="MiSans Light" w:hAnsi="MiSans Light" w:eastAsia="MiSans Light"/>
          <w:b/>
          <w:bCs/>
          <w:sz w:val="40"/>
          <w:szCs w:val="40"/>
        </w:rPr>
      </w:pPr>
    </w:p>
    <w:p w14:paraId="506C2C65">
      <w:pPr>
        <w:pStyle w:val="9"/>
        <w:snapToGrid w:val="0"/>
        <w:ind w:right="-197" w:rightChars="-94"/>
        <w:jc w:val="center"/>
        <w:rPr>
          <w:rFonts w:ascii="MiSans Light" w:hAnsi="MiSans Light" w:eastAsia="MiSans Light"/>
          <w:b/>
          <w:bCs/>
          <w:sz w:val="40"/>
          <w:szCs w:val="40"/>
        </w:rPr>
      </w:pPr>
    </w:p>
    <w:p w14:paraId="4C427A29">
      <w:pPr>
        <w:pStyle w:val="9"/>
        <w:snapToGrid w:val="0"/>
        <w:ind w:right="-197" w:rightChars="-94"/>
        <w:jc w:val="center"/>
        <w:rPr>
          <w:rFonts w:ascii="MiSans Light" w:hAnsi="MiSans Light" w:eastAsia="MiSans Light"/>
          <w:b/>
          <w:bCs/>
          <w:sz w:val="40"/>
          <w:szCs w:val="40"/>
        </w:rPr>
      </w:pPr>
    </w:p>
    <w:p w14:paraId="5D1D0C28">
      <w:pPr>
        <w:pStyle w:val="9"/>
        <w:snapToGrid w:val="0"/>
        <w:ind w:right="-197" w:rightChars="-94"/>
        <w:jc w:val="center"/>
        <w:rPr>
          <w:rFonts w:ascii="MiSans Light" w:hAnsi="MiSans Light" w:eastAsia="MiSans Light"/>
          <w:b/>
          <w:bCs/>
          <w:sz w:val="40"/>
          <w:szCs w:val="40"/>
        </w:rPr>
      </w:pPr>
    </w:p>
    <w:p w14:paraId="64940C4F">
      <w:pPr>
        <w:pStyle w:val="9"/>
        <w:snapToGrid w:val="0"/>
        <w:jc w:val="center"/>
        <w:rPr>
          <w:rFonts w:ascii="MiSans Light" w:hAnsi="MiSans Light" w:eastAsia="MiSans Light" w:cs="楷体"/>
          <w:b/>
          <w:bCs/>
          <w:sz w:val="84"/>
          <w:szCs w:val="84"/>
        </w:rPr>
      </w:pPr>
      <w:r>
        <w:rPr>
          <w:rFonts w:hint="eastAsia" w:ascii="MiSans Light" w:hAnsi="MiSans Light" w:eastAsia="MiSans Light" w:cs="楷体"/>
          <w:b/>
          <w:bCs/>
          <w:sz w:val="84"/>
          <w:szCs w:val="84"/>
        </w:rPr>
        <w:t>招 标 文 件</w:t>
      </w:r>
    </w:p>
    <w:p w14:paraId="45D58D24">
      <w:pPr>
        <w:pStyle w:val="9"/>
        <w:snapToGrid w:val="0"/>
        <w:jc w:val="center"/>
        <w:rPr>
          <w:rFonts w:ascii="MiSans Light" w:hAnsi="MiSans Light" w:eastAsia="MiSans Light" w:cs="楷体"/>
          <w:b/>
          <w:bCs/>
          <w:sz w:val="84"/>
          <w:szCs w:val="84"/>
        </w:rPr>
      </w:pPr>
    </w:p>
    <w:p w14:paraId="630C4503">
      <w:pPr>
        <w:pStyle w:val="9"/>
        <w:snapToGrid w:val="0"/>
        <w:jc w:val="center"/>
        <w:rPr>
          <w:rFonts w:ascii="MiSans Light" w:hAnsi="MiSans Light" w:eastAsia="MiSans Light" w:cs="宋体"/>
          <w:b/>
          <w:bCs/>
          <w:sz w:val="28"/>
          <w:szCs w:val="28"/>
        </w:rPr>
      </w:pPr>
      <w:r>
        <w:rPr>
          <w:rFonts w:hint="eastAsia" w:ascii="MiSans Light" w:hAnsi="MiSans Light" w:eastAsia="MiSans Light" w:cs="宋体"/>
          <w:b/>
          <w:bCs/>
          <w:sz w:val="28"/>
          <w:szCs w:val="28"/>
        </w:rPr>
        <w:t>招标编号：FJKD-2026012404-00</w:t>
      </w:r>
    </w:p>
    <w:p w14:paraId="1C5D38F2">
      <w:pPr>
        <w:pStyle w:val="9"/>
        <w:snapToGrid w:val="0"/>
        <w:spacing w:before="62" w:after="62"/>
        <w:ind w:firstLine="707" w:firstLineChars="220"/>
        <w:rPr>
          <w:rFonts w:ascii="MiSans Light" w:hAnsi="MiSans Light" w:eastAsia="MiSans Light" w:cs="宋体"/>
          <w:b/>
          <w:bCs/>
          <w:sz w:val="32"/>
          <w:szCs w:val="32"/>
        </w:rPr>
      </w:pPr>
    </w:p>
    <w:p w14:paraId="1B57CCBB">
      <w:pPr>
        <w:pStyle w:val="9"/>
        <w:snapToGrid w:val="0"/>
        <w:spacing w:before="62" w:after="62"/>
        <w:ind w:firstLine="707" w:firstLineChars="220"/>
        <w:rPr>
          <w:rFonts w:ascii="MiSans Light" w:hAnsi="MiSans Light" w:eastAsia="MiSans Light" w:cs="宋体"/>
          <w:b/>
          <w:bCs/>
          <w:sz w:val="32"/>
          <w:szCs w:val="32"/>
        </w:rPr>
      </w:pPr>
    </w:p>
    <w:p w14:paraId="1E6277A3">
      <w:pPr>
        <w:pStyle w:val="9"/>
        <w:snapToGrid w:val="0"/>
        <w:spacing w:before="62" w:after="62"/>
        <w:ind w:firstLine="707" w:firstLineChars="220"/>
        <w:rPr>
          <w:rFonts w:ascii="MiSans Light" w:hAnsi="MiSans Light" w:eastAsia="MiSans Light" w:cs="宋体"/>
          <w:b/>
          <w:bCs/>
          <w:sz w:val="32"/>
          <w:szCs w:val="32"/>
        </w:rPr>
      </w:pPr>
    </w:p>
    <w:p w14:paraId="045B3B04">
      <w:pPr>
        <w:pStyle w:val="9"/>
        <w:snapToGrid w:val="0"/>
        <w:spacing w:before="62" w:after="62"/>
        <w:ind w:firstLine="707" w:firstLineChars="220"/>
        <w:rPr>
          <w:rFonts w:ascii="MiSans Light" w:hAnsi="MiSans Light" w:eastAsia="MiSans Light" w:cs="宋体"/>
          <w:b/>
          <w:bCs/>
          <w:sz w:val="32"/>
          <w:szCs w:val="32"/>
        </w:rPr>
      </w:pPr>
    </w:p>
    <w:p w14:paraId="5EE6A1CA">
      <w:pPr>
        <w:pStyle w:val="9"/>
        <w:snapToGrid w:val="0"/>
        <w:spacing w:before="62" w:after="62"/>
        <w:ind w:firstLine="707" w:firstLineChars="220"/>
        <w:rPr>
          <w:rFonts w:ascii="MiSans Light" w:hAnsi="MiSans Light" w:eastAsia="MiSans Light" w:cs="宋体"/>
          <w:b/>
          <w:bCs/>
          <w:sz w:val="32"/>
          <w:szCs w:val="32"/>
        </w:rPr>
      </w:pPr>
    </w:p>
    <w:p w14:paraId="0D4F8E7B">
      <w:pPr>
        <w:pStyle w:val="9"/>
        <w:snapToGrid w:val="0"/>
        <w:spacing w:before="62" w:after="62"/>
        <w:ind w:firstLine="707" w:firstLineChars="220"/>
        <w:rPr>
          <w:rFonts w:ascii="MiSans Light" w:hAnsi="MiSans Light" w:eastAsia="MiSans Light" w:cs="宋体"/>
          <w:b/>
          <w:bCs/>
          <w:sz w:val="32"/>
          <w:szCs w:val="32"/>
        </w:rPr>
      </w:pPr>
    </w:p>
    <w:p w14:paraId="6B285049">
      <w:pPr>
        <w:pStyle w:val="9"/>
        <w:snapToGrid w:val="0"/>
        <w:spacing w:before="62" w:after="62"/>
        <w:ind w:firstLine="707" w:firstLineChars="220"/>
        <w:rPr>
          <w:rFonts w:ascii="MiSans Light" w:hAnsi="MiSans Light" w:eastAsia="MiSans Light" w:cs="宋体"/>
          <w:b/>
          <w:bCs/>
          <w:sz w:val="32"/>
          <w:szCs w:val="32"/>
        </w:rPr>
      </w:pPr>
    </w:p>
    <w:p w14:paraId="05B119B4">
      <w:pPr>
        <w:pStyle w:val="9"/>
        <w:snapToGrid w:val="0"/>
        <w:spacing w:before="62" w:after="62"/>
        <w:ind w:firstLine="707" w:firstLineChars="220"/>
        <w:rPr>
          <w:rFonts w:ascii="MiSans Light" w:hAnsi="MiSans Light" w:eastAsia="MiSans Light" w:cs="宋体"/>
          <w:b/>
          <w:bCs/>
          <w:sz w:val="32"/>
          <w:szCs w:val="32"/>
        </w:rPr>
      </w:pPr>
    </w:p>
    <w:p w14:paraId="3568C8C3">
      <w:pPr>
        <w:pStyle w:val="9"/>
        <w:snapToGrid w:val="0"/>
        <w:spacing w:before="62" w:after="62"/>
        <w:ind w:firstLine="707" w:firstLineChars="220"/>
        <w:rPr>
          <w:rFonts w:ascii="MiSans Light" w:hAnsi="MiSans Light" w:eastAsia="MiSans Light" w:cs="宋体"/>
          <w:b/>
          <w:bCs/>
          <w:sz w:val="32"/>
          <w:szCs w:val="32"/>
        </w:rPr>
      </w:pPr>
    </w:p>
    <w:p w14:paraId="043E4D50">
      <w:pPr>
        <w:pStyle w:val="9"/>
        <w:snapToGrid w:val="0"/>
        <w:spacing w:before="62" w:after="62"/>
        <w:ind w:firstLine="707" w:firstLineChars="220"/>
        <w:rPr>
          <w:rFonts w:ascii="MiSans Light" w:hAnsi="MiSans Light" w:eastAsia="MiSans Light" w:cs="宋体"/>
          <w:b/>
          <w:bCs/>
          <w:sz w:val="32"/>
          <w:szCs w:val="32"/>
        </w:rPr>
      </w:pPr>
    </w:p>
    <w:p w14:paraId="02DC13A0">
      <w:pPr>
        <w:pStyle w:val="9"/>
        <w:snapToGrid w:val="0"/>
        <w:spacing w:before="62" w:after="62"/>
        <w:ind w:firstLine="707" w:firstLineChars="220"/>
        <w:rPr>
          <w:rFonts w:ascii="MiSans Light" w:hAnsi="MiSans Light" w:eastAsia="MiSans Light" w:cs="宋体"/>
          <w:b/>
          <w:bCs/>
          <w:sz w:val="32"/>
          <w:szCs w:val="32"/>
        </w:rPr>
      </w:pPr>
    </w:p>
    <w:p w14:paraId="5DB2BBC3">
      <w:pPr>
        <w:pStyle w:val="9"/>
        <w:snapToGrid w:val="0"/>
        <w:spacing w:before="62" w:after="62"/>
        <w:ind w:left="2773" w:leftChars="334" w:hanging="2072" w:hangingChars="645"/>
        <w:rPr>
          <w:rFonts w:ascii="MiSans Light" w:hAnsi="MiSans Light" w:eastAsia="MiSans Light" w:cs="宋体"/>
          <w:b/>
          <w:bCs/>
          <w:sz w:val="32"/>
          <w:szCs w:val="32"/>
        </w:rPr>
      </w:pPr>
    </w:p>
    <w:p w14:paraId="70F0C80A">
      <w:pPr>
        <w:pStyle w:val="9"/>
        <w:snapToGrid w:val="0"/>
        <w:spacing w:before="62" w:after="62"/>
        <w:ind w:hanging="6"/>
        <w:jc w:val="center"/>
        <w:rPr>
          <w:rFonts w:ascii="MiSans Light" w:hAnsi="MiSans Light" w:eastAsia="MiSans Light" w:cs="宋体"/>
          <w:b/>
          <w:bCs/>
          <w:sz w:val="28"/>
          <w:szCs w:val="28"/>
        </w:rPr>
      </w:pPr>
      <w:bookmarkStart w:id="0" w:name="_Toc683"/>
      <w:bookmarkStart w:id="1" w:name="_Toc15986"/>
      <w:r>
        <w:rPr>
          <w:rFonts w:hint="eastAsia" w:ascii="MiSans Light" w:hAnsi="MiSans Light" w:eastAsia="MiSans Light" w:cs="宋体"/>
          <w:b/>
          <w:bCs/>
          <w:sz w:val="28"/>
          <w:szCs w:val="28"/>
        </w:rPr>
        <w:t>招标人：福建科达新能源科技有限公司</w:t>
      </w:r>
      <w:bookmarkEnd w:id="0"/>
      <w:bookmarkEnd w:id="1"/>
      <w:r>
        <w:rPr>
          <w:rFonts w:hint="eastAsia" w:ascii="MiSans Light" w:hAnsi="MiSans Light" w:eastAsia="MiSans Light" w:cs="宋体"/>
          <w:b/>
          <w:bCs/>
          <w:sz w:val="28"/>
          <w:szCs w:val="28"/>
        </w:rPr>
        <w:t xml:space="preserve"> </w:t>
      </w:r>
      <w:r>
        <w:rPr>
          <w:rStyle w:val="10"/>
          <w:rFonts w:hint="eastAsia" w:ascii="宋体" w:hAnsi="宋体"/>
          <w:sz w:val="28"/>
          <w:szCs w:val="28"/>
        </w:rPr>
        <w:t xml:space="preserve"> </w:t>
      </w:r>
    </w:p>
    <w:p w14:paraId="4F2D448A">
      <w:pPr>
        <w:snapToGrid w:val="0"/>
        <w:ind w:hanging="6"/>
        <w:jc w:val="center"/>
        <w:rPr>
          <w:rFonts w:ascii="MiSans Light" w:hAnsi="MiSans Light" w:eastAsia="MiSans Light" w:cs="宋体"/>
          <w:b/>
          <w:bCs/>
          <w:sz w:val="28"/>
          <w:szCs w:val="28"/>
        </w:rPr>
        <w:sectPr>
          <w:footerReference r:id="rId4" w:type="first"/>
          <w:footerReference r:id="rId3" w:type="default"/>
          <w:pgSz w:w="11906" w:h="16838"/>
          <w:pgMar w:top="1440" w:right="1080" w:bottom="1440" w:left="1080" w:header="851" w:footer="992" w:gutter="0"/>
          <w:cols w:space="720" w:num="1"/>
          <w:docGrid w:type="lines" w:linePitch="312" w:charSpace="0"/>
        </w:sectPr>
      </w:pPr>
      <w:r>
        <w:rPr>
          <w:rFonts w:hint="eastAsia" w:ascii="MiSans Light" w:hAnsi="MiSans Light" w:eastAsia="MiSans Light" w:cs="宋体"/>
          <w:b/>
          <w:bCs/>
          <w:sz w:val="28"/>
          <w:szCs w:val="28"/>
        </w:rPr>
        <w:t xml:space="preserve">  </w:t>
      </w:r>
      <w:bookmarkStart w:id="2" w:name="_Toc12445"/>
      <w:bookmarkStart w:id="3" w:name="_Toc13490"/>
      <w:r>
        <w:rPr>
          <w:rFonts w:hint="eastAsia" w:ascii="MiSans Light" w:hAnsi="MiSans Light" w:eastAsia="MiSans Light" w:cs="宋体"/>
          <w:b/>
          <w:bCs/>
          <w:sz w:val="28"/>
          <w:szCs w:val="28"/>
        </w:rPr>
        <w:t>202</w:t>
      </w:r>
      <w:r>
        <w:rPr>
          <w:rFonts w:hint="eastAsia" w:ascii="MiSans Light" w:hAnsi="MiSans Light" w:eastAsia="MiSans Light" w:cs="宋体"/>
          <w:b/>
          <w:bCs/>
          <w:sz w:val="28"/>
          <w:szCs w:val="28"/>
          <w:lang w:val="en-US" w:eastAsia="zh-CN"/>
        </w:rPr>
        <w:t>6</w:t>
      </w:r>
      <w:r>
        <w:rPr>
          <w:rFonts w:hint="eastAsia" w:ascii="MiSans Light" w:hAnsi="MiSans Light" w:eastAsia="MiSans Light" w:cs="宋体"/>
          <w:b/>
          <w:bCs/>
          <w:sz w:val="28"/>
          <w:szCs w:val="28"/>
        </w:rPr>
        <w:t>年</w:t>
      </w:r>
      <w:bookmarkEnd w:id="2"/>
      <w:bookmarkEnd w:id="3"/>
      <w:r>
        <w:rPr>
          <w:rFonts w:ascii="MiSans Light" w:hAnsi="MiSans Light" w:eastAsia="MiSans Light" w:cs="宋体"/>
          <w:b/>
          <w:bCs/>
          <w:sz w:val="28"/>
          <w:szCs w:val="28"/>
        </w:rPr>
        <w:t>0</w:t>
      </w:r>
      <w:r>
        <w:rPr>
          <w:rFonts w:hint="eastAsia" w:ascii="MiSans Light" w:hAnsi="MiSans Light" w:eastAsia="MiSans Light" w:cs="宋体"/>
          <w:b/>
          <w:bCs/>
          <w:sz w:val="28"/>
          <w:szCs w:val="28"/>
          <w:lang w:val="en-US" w:eastAsia="zh-CN"/>
        </w:rPr>
        <w:t>1</w:t>
      </w:r>
      <w:r>
        <w:rPr>
          <w:rFonts w:hint="eastAsia" w:ascii="MiSans Light" w:hAnsi="MiSans Light" w:eastAsia="MiSans Light" w:cs="宋体"/>
          <w:b/>
          <w:bCs/>
          <w:sz w:val="28"/>
          <w:szCs w:val="28"/>
        </w:rPr>
        <w:t>月</w:t>
      </w:r>
    </w:p>
    <w:p w14:paraId="50BBA698">
      <w:pPr>
        <w:pStyle w:val="3"/>
        <w:spacing w:line="360" w:lineRule="auto"/>
        <w:rPr>
          <w:rFonts w:hint="eastAsia" w:ascii="宋体" w:hAnsi="宋体" w:cs="宋体"/>
          <w:sz w:val="28"/>
          <w:szCs w:val="28"/>
        </w:rPr>
      </w:pPr>
      <w:r>
        <w:rPr>
          <w:rFonts w:hint="eastAsia" w:ascii="宋体" w:hAnsi="宋体" w:cs="宋体"/>
          <w:sz w:val="28"/>
          <w:szCs w:val="28"/>
        </w:rPr>
        <w:t>1.</w:t>
      </w:r>
      <w:r>
        <w:rPr>
          <w:rFonts w:hint="eastAsia" w:ascii="宋体" w:hAnsi="宋体" w:cs="宋体"/>
          <w:b/>
          <w:sz w:val="28"/>
          <w:szCs w:val="28"/>
        </w:rPr>
        <w:t>招标项目名称</w:t>
      </w:r>
      <w:r>
        <w:rPr>
          <w:rFonts w:hint="eastAsia" w:ascii="宋体" w:hAnsi="宋体" w:cs="宋体"/>
          <w:sz w:val="28"/>
          <w:szCs w:val="28"/>
        </w:rPr>
        <w:t>：</w:t>
      </w:r>
    </w:p>
    <w:p w14:paraId="6B2178AB">
      <w:pPr>
        <w:pStyle w:val="3"/>
        <w:spacing w:line="360" w:lineRule="auto"/>
        <w:ind w:firstLine="280" w:firstLineChars="100"/>
        <w:rPr>
          <w:rFonts w:hint="eastAsia" w:ascii="宋体" w:hAnsi="宋体" w:cs="宋体"/>
          <w:sz w:val="28"/>
          <w:szCs w:val="28"/>
        </w:rPr>
      </w:pPr>
      <w:r>
        <w:rPr>
          <w:rFonts w:hint="eastAsia" w:ascii="宋体" w:hAnsi="宋体" w:cs="宋体"/>
          <w:sz w:val="28"/>
          <w:szCs w:val="28"/>
        </w:rPr>
        <w:t>福建科达新能源科技有限公司</w:t>
      </w:r>
      <w:r>
        <w:rPr>
          <w:rFonts w:hint="eastAsia" w:ascii="宋体" w:hAnsi="宋体" w:cs="宋体"/>
          <w:sz w:val="28"/>
          <w:szCs w:val="28"/>
          <w:lang w:val="en-US" w:eastAsia="zh-CN"/>
        </w:rPr>
        <w:t>铜铝废旧物资售卖</w:t>
      </w:r>
      <w:r>
        <w:rPr>
          <w:rFonts w:hint="eastAsia" w:ascii="宋体" w:hAnsi="宋体" w:cs="宋体"/>
          <w:sz w:val="28"/>
          <w:szCs w:val="28"/>
        </w:rPr>
        <w:t>项目。</w:t>
      </w:r>
    </w:p>
    <w:p w14:paraId="10E01D83">
      <w:pPr>
        <w:pStyle w:val="3"/>
        <w:spacing w:line="360" w:lineRule="auto"/>
        <w:rPr>
          <w:rFonts w:hint="eastAsia" w:ascii="宋体" w:hAnsi="宋体" w:cs="宋体"/>
          <w:sz w:val="28"/>
          <w:szCs w:val="28"/>
        </w:rPr>
      </w:pPr>
      <w:r>
        <w:rPr>
          <w:rFonts w:hint="eastAsia" w:ascii="宋体" w:hAnsi="宋体" w:cs="宋体"/>
          <w:sz w:val="28"/>
          <w:szCs w:val="28"/>
        </w:rPr>
        <w:t>2.</w:t>
      </w:r>
      <w:r>
        <w:rPr>
          <w:rFonts w:hint="eastAsia" w:ascii="宋体" w:hAnsi="宋体" w:cs="宋体"/>
          <w:b/>
          <w:sz w:val="28"/>
          <w:szCs w:val="28"/>
        </w:rPr>
        <w:t>招标人</w:t>
      </w:r>
      <w:r>
        <w:rPr>
          <w:rFonts w:hint="eastAsia" w:ascii="宋体" w:hAnsi="宋体" w:cs="宋体"/>
          <w:sz w:val="28"/>
          <w:szCs w:val="28"/>
        </w:rPr>
        <w:t>：</w:t>
      </w:r>
    </w:p>
    <w:p w14:paraId="3F6C4738">
      <w:pPr>
        <w:pStyle w:val="3"/>
        <w:spacing w:line="360" w:lineRule="auto"/>
        <w:ind w:firstLine="280" w:firstLineChars="100"/>
        <w:rPr>
          <w:rFonts w:hint="eastAsia" w:ascii="宋体" w:hAnsi="宋体" w:cs="宋体"/>
          <w:sz w:val="28"/>
          <w:szCs w:val="28"/>
        </w:rPr>
      </w:pPr>
      <w:r>
        <w:rPr>
          <w:rFonts w:hint="eastAsia" w:ascii="宋体" w:hAnsi="宋体" w:cs="宋体"/>
          <w:sz w:val="28"/>
          <w:szCs w:val="28"/>
        </w:rPr>
        <w:t>福建科达新能源科技有限公司。</w:t>
      </w:r>
    </w:p>
    <w:p w14:paraId="4B1A6EDC">
      <w:pPr>
        <w:pStyle w:val="3"/>
        <w:spacing w:line="360" w:lineRule="auto"/>
        <w:rPr>
          <w:rFonts w:hint="eastAsia" w:ascii="宋体" w:hAnsi="宋体" w:cs="宋体"/>
          <w:sz w:val="28"/>
          <w:szCs w:val="28"/>
        </w:rPr>
      </w:pPr>
      <w:r>
        <w:rPr>
          <w:rFonts w:hint="eastAsia" w:ascii="宋体" w:hAnsi="宋体" w:cs="宋体"/>
          <w:sz w:val="28"/>
          <w:szCs w:val="28"/>
        </w:rPr>
        <w:t>3.</w:t>
      </w:r>
      <w:r>
        <w:rPr>
          <w:rFonts w:hint="eastAsia" w:ascii="宋体" w:hAnsi="宋体" w:cs="宋体"/>
          <w:b/>
          <w:sz w:val="28"/>
          <w:szCs w:val="28"/>
        </w:rPr>
        <w:t>标的物</w:t>
      </w:r>
      <w:r>
        <w:rPr>
          <w:rFonts w:hint="eastAsia" w:ascii="宋体" w:hAnsi="宋体" w:cs="宋体"/>
          <w:sz w:val="28"/>
          <w:szCs w:val="28"/>
        </w:rPr>
        <w:t>：</w:t>
      </w:r>
    </w:p>
    <w:p w14:paraId="7441C457">
      <w:pPr>
        <w:pStyle w:val="3"/>
        <w:spacing w:line="360" w:lineRule="auto"/>
        <w:ind w:firstLine="280" w:firstLineChars="100"/>
        <w:rPr>
          <w:rFonts w:hint="eastAsia" w:ascii="宋体" w:hAnsi="宋体" w:cs="宋体"/>
          <w:sz w:val="28"/>
          <w:szCs w:val="28"/>
        </w:rPr>
      </w:pPr>
      <w:r>
        <w:rPr>
          <w:rFonts w:hint="eastAsia" w:ascii="宋体" w:hAnsi="宋体" w:cs="宋体"/>
          <w:sz w:val="28"/>
          <w:szCs w:val="28"/>
        </w:rPr>
        <w:t>所有废旧铜铝均为工厂生产过程中产生的废</w:t>
      </w:r>
      <w:r>
        <w:rPr>
          <w:rFonts w:hint="eastAsia" w:ascii="宋体" w:hAnsi="宋体" w:cs="宋体"/>
          <w:sz w:val="28"/>
          <w:szCs w:val="28"/>
          <w:lang w:val="en-US" w:eastAsia="zh-CN"/>
        </w:rPr>
        <w:t>设备</w:t>
      </w:r>
      <w:r>
        <w:rPr>
          <w:rFonts w:hint="eastAsia" w:ascii="宋体" w:hAnsi="宋体" w:cs="宋体"/>
          <w:sz w:val="28"/>
          <w:szCs w:val="28"/>
        </w:rPr>
        <w:t>；表面可能存在锈蚀、油污或附着杂质，可直接回收再利用。</w:t>
      </w:r>
    </w:p>
    <w:p w14:paraId="7BA248E4">
      <w:pPr>
        <w:pStyle w:val="3"/>
        <w:spacing w:line="360" w:lineRule="auto"/>
        <w:rPr>
          <w:rFonts w:hint="eastAsia" w:ascii="宋体" w:hAnsi="宋体" w:cs="宋体"/>
          <w:sz w:val="28"/>
          <w:szCs w:val="28"/>
        </w:rPr>
      </w:pPr>
      <w:r>
        <w:rPr>
          <w:rFonts w:hint="eastAsia" w:ascii="宋体" w:hAnsi="宋体" w:cs="宋体"/>
          <w:sz w:val="28"/>
          <w:szCs w:val="28"/>
        </w:rPr>
        <w:t>4.</w:t>
      </w:r>
      <w:r>
        <w:rPr>
          <w:rFonts w:hint="eastAsia" w:ascii="宋体" w:hAnsi="宋体" w:cs="宋体"/>
          <w:b/>
          <w:sz w:val="28"/>
          <w:szCs w:val="28"/>
        </w:rPr>
        <w:t>标的物的要求</w:t>
      </w:r>
      <w:r>
        <w:rPr>
          <w:rFonts w:hint="eastAsia" w:ascii="宋体" w:hAnsi="宋体" w:cs="宋体"/>
          <w:sz w:val="28"/>
          <w:szCs w:val="28"/>
        </w:rPr>
        <w:t>：</w:t>
      </w:r>
    </w:p>
    <w:p w14:paraId="20670BDF">
      <w:pPr>
        <w:pStyle w:val="3"/>
        <w:spacing w:line="360" w:lineRule="auto"/>
        <w:ind w:firstLine="280" w:firstLineChars="100"/>
        <w:rPr>
          <w:rFonts w:hint="eastAsia" w:ascii="宋体" w:hAnsi="宋体" w:cs="宋体"/>
          <w:sz w:val="28"/>
          <w:szCs w:val="28"/>
        </w:rPr>
      </w:pPr>
      <w:r>
        <w:rPr>
          <w:rFonts w:hint="eastAsia" w:ascii="宋体" w:hAnsi="宋体" w:cs="宋体"/>
          <w:sz w:val="28"/>
          <w:szCs w:val="28"/>
        </w:rPr>
        <w:t>投标人需按照《再生资源回收管理办法》等法规要求，负责物资清运、拆解、环保处置全流程，承担相关费用及风险。</w:t>
      </w:r>
    </w:p>
    <w:p w14:paraId="709C7DC0">
      <w:pPr>
        <w:pStyle w:val="3"/>
        <w:spacing w:line="360" w:lineRule="auto"/>
        <w:rPr>
          <w:rFonts w:hint="eastAsia"/>
        </w:rPr>
      </w:pPr>
      <w:r>
        <w:rPr>
          <w:rFonts w:hint="eastAsia" w:ascii="宋体" w:hAnsi="宋体" w:cs="宋体"/>
          <w:sz w:val="28"/>
          <w:szCs w:val="28"/>
        </w:rPr>
        <w:t>5.</w:t>
      </w:r>
      <w:r>
        <w:rPr>
          <w:rFonts w:hint="eastAsia" w:ascii="宋体" w:hAnsi="宋体" w:cs="宋体"/>
          <w:b/>
          <w:sz w:val="28"/>
          <w:szCs w:val="28"/>
        </w:rPr>
        <w:t>投标文件内容及格式要求</w:t>
      </w:r>
      <w:r>
        <w:rPr>
          <w:rFonts w:hint="eastAsia" w:ascii="宋体" w:hAnsi="宋体" w:cs="宋体"/>
          <w:sz w:val="28"/>
          <w:szCs w:val="28"/>
        </w:rPr>
        <w:t>：</w:t>
      </w:r>
    </w:p>
    <w:p w14:paraId="238ACCD2">
      <w:pPr>
        <w:pStyle w:val="3"/>
        <w:spacing w:line="360" w:lineRule="auto"/>
        <w:rPr>
          <w:rFonts w:ascii="宋体" w:hAnsi="宋体" w:cs="宋体"/>
          <w:sz w:val="28"/>
          <w:szCs w:val="28"/>
        </w:rPr>
      </w:pPr>
      <w:r>
        <w:rPr>
          <w:rFonts w:ascii="宋体" w:hAnsi="宋体" w:cs="宋体"/>
          <w:sz w:val="28"/>
          <w:szCs w:val="28"/>
        </w:rPr>
        <w:tab/>
      </w:r>
      <w:r>
        <w:rPr>
          <w:rFonts w:ascii="宋体" w:hAnsi="宋体" w:cs="宋体"/>
          <w:sz w:val="28"/>
          <w:szCs w:val="28"/>
        </w:rPr>
        <w:t xml:space="preserve">  </w:t>
      </w:r>
      <w:r>
        <w:rPr>
          <w:rFonts w:hint="eastAsia" w:ascii="宋体" w:hAnsi="宋体" w:cs="宋体"/>
          <w:sz w:val="28"/>
          <w:szCs w:val="28"/>
        </w:rPr>
        <w:t>正式</w:t>
      </w:r>
      <w:r>
        <w:rPr>
          <w:rFonts w:ascii="宋体" w:hAnsi="宋体" w:cs="宋体"/>
          <w:sz w:val="28"/>
          <w:szCs w:val="28"/>
        </w:rPr>
        <w:t>投标前需进行资格</w:t>
      </w:r>
      <w:r>
        <w:rPr>
          <w:rFonts w:hint="eastAsia" w:ascii="宋体" w:hAnsi="宋体" w:cs="宋体"/>
          <w:sz w:val="28"/>
          <w:szCs w:val="28"/>
        </w:rPr>
        <w:t>预审</w:t>
      </w:r>
      <w:r>
        <w:rPr>
          <w:rFonts w:ascii="宋体" w:hAnsi="宋体" w:cs="宋体"/>
          <w:sz w:val="28"/>
          <w:szCs w:val="28"/>
        </w:rPr>
        <w:t>，通过资格预审的供应商方可进行正式投标</w:t>
      </w:r>
      <w:r>
        <w:rPr>
          <w:rFonts w:hint="eastAsia" w:ascii="宋体" w:hAnsi="宋体" w:cs="宋体"/>
          <w:sz w:val="28"/>
          <w:szCs w:val="28"/>
        </w:rPr>
        <w:t>。</w:t>
      </w:r>
      <w:r>
        <w:rPr>
          <w:rFonts w:ascii="宋体" w:hAnsi="宋体" w:cs="宋体"/>
          <w:sz w:val="28"/>
          <w:szCs w:val="28"/>
        </w:rPr>
        <w:tab/>
      </w:r>
      <w:r>
        <w:rPr>
          <w:rFonts w:ascii="宋体" w:hAnsi="宋体" w:cs="宋体"/>
          <w:sz w:val="28"/>
          <w:szCs w:val="28"/>
        </w:rPr>
        <w:t xml:space="preserve">  </w:t>
      </w:r>
    </w:p>
    <w:p w14:paraId="6C2B8ABE">
      <w:pPr>
        <w:pStyle w:val="3"/>
        <w:spacing w:line="360" w:lineRule="auto"/>
        <w:ind w:firstLine="280" w:firstLineChars="100"/>
        <w:rPr>
          <w:rFonts w:ascii="宋体" w:hAnsi="宋体" w:cs="宋体"/>
          <w:sz w:val="28"/>
          <w:szCs w:val="28"/>
        </w:rPr>
      </w:pPr>
      <w:r>
        <w:rPr>
          <w:rFonts w:hint="eastAsia" w:ascii="宋体" w:hAnsi="宋体" w:cs="宋体"/>
          <w:sz w:val="28"/>
          <w:szCs w:val="28"/>
        </w:rPr>
        <w:t>正式</w:t>
      </w:r>
      <w:r>
        <w:rPr>
          <w:rFonts w:ascii="宋体" w:hAnsi="宋体" w:cs="宋体"/>
          <w:sz w:val="28"/>
          <w:szCs w:val="28"/>
        </w:rPr>
        <w:t>标书</w:t>
      </w:r>
      <w:r>
        <w:rPr>
          <w:rFonts w:hint="eastAsia" w:ascii="宋体" w:hAnsi="宋体" w:cs="宋体"/>
          <w:sz w:val="28"/>
          <w:szCs w:val="28"/>
          <w:lang w:val="en-US" w:eastAsia="zh-CN"/>
        </w:rPr>
        <w:t>一份</w:t>
      </w:r>
      <w:r>
        <w:rPr>
          <w:rFonts w:hint="eastAsia" w:ascii="宋体" w:hAnsi="宋体" w:cs="宋体"/>
          <w:sz w:val="28"/>
          <w:szCs w:val="28"/>
        </w:rPr>
        <w:t>，要求</w:t>
      </w:r>
      <w:r>
        <w:rPr>
          <w:rFonts w:ascii="宋体" w:hAnsi="宋体" w:cs="宋体"/>
          <w:sz w:val="28"/>
          <w:szCs w:val="28"/>
          <w:highlight w:val="none"/>
        </w:rPr>
        <w:t>价格标</w:t>
      </w:r>
      <w:r>
        <w:rPr>
          <w:rFonts w:hint="eastAsia" w:ascii="宋体" w:hAnsi="宋体" w:cs="宋体"/>
          <w:sz w:val="28"/>
          <w:szCs w:val="28"/>
          <w:highlight w:val="none"/>
          <w:lang w:val="en-US" w:eastAsia="zh-CN"/>
        </w:rPr>
        <w:t>及</w:t>
      </w:r>
      <w:r>
        <w:rPr>
          <w:rFonts w:hint="eastAsia" w:ascii="宋体" w:hAnsi="宋体" w:cs="宋体"/>
          <w:sz w:val="28"/>
          <w:szCs w:val="28"/>
          <w:highlight w:val="none"/>
        </w:rPr>
        <w:t>投标保证金付款凭证</w:t>
      </w:r>
      <w:r>
        <w:rPr>
          <w:rFonts w:hint="eastAsia" w:ascii="宋体" w:hAnsi="宋体" w:cs="宋体"/>
          <w:sz w:val="28"/>
          <w:szCs w:val="28"/>
          <w:highlight w:val="none"/>
          <w:lang w:val="en-US" w:eastAsia="zh-CN"/>
        </w:rPr>
        <w:t>分别单独</w:t>
      </w:r>
      <w:r>
        <w:rPr>
          <w:rFonts w:hint="eastAsia" w:ascii="宋体" w:hAnsi="宋体" w:cs="宋体"/>
          <w:sz w:val="28"/>
          <w:szCs w:val="28"/>
          <w:highlight w:val="none"/>
        </w:rPr>
        <w:t>密封</w:t>
      </w:r>
      <w:r>
        <w:rPr>
          <w:rFonts w:hint="eastAsia" w:ascii="宋体" w:hAnsi="宋体" w:cs="宋体"/>
          <w:sz w:val="28"/>
          <w:szCs w:val="28"/>
          <w:highlight w:val="none"/>
          <w:lang w:val="en-US" w:eastAsia="zh-CN"/>
        </w:rPr>
        <w:t>邮寄</w:t>
      </w:r>
      <w:r>
        <w:rPr>
          <w:rFonts w:hint="eastAsia" w:ascii="宋体" w:hAnsi="宋体" w:cs="宋体"/>
          <w:sz w:val="28"/>
          <w:szCs w:val="28"/>
          <w:highlight w:val="none"/>
        </w:rPr>
        <w:t>，</w:t>
      </w:r>
      <w:r>
        <w:rPr>
          <w:rFonts w:hint="eastAsia" w:ascii="宋体" w:hAnsi="宋体" w:cs="宋体"/>
          <w:sz w:val="28"/>
          <w:szCs w:val="28"/>
          <w:highlight w:val="none"/>
          <w:lang w:val="en-US" w:eastAsia="zh-CN"/>
        </w:rPr>
        <w:t>未按要求密封的供应商视为弃标</w:t>
      </w:r>
      <w:r>
        <w:rPr>
          <w:rFonts w:hint="eastAsia" w:ascii="宋体" w:hAnsi="宋体" w:cs="宋体"/>
          <w:sz w:val="28"/>
          <w:szCs w:val="28"/>
        </w:rPr>
        <w:t>。</w:t>
      </w:r>
    </w:p>
    <w:p w14:paraId="012A79DB">
      <w:pPr>
        <w:pStyle w:val="3"/>
        <w:spacing w:line="360" w:lineRule="auto"/>
        <w:ind w:firstLine="280" w:firstLineChars="100"/>
        <w:rPr>
          <w:rFonts w:ascii="宋体" w:hAnsi="宋体" w:cs="宋体"/>
          <w:sz w:val="28"/>
          <w:szCs w:val="28"/>
        </w:rPr>
      </w:pPr>
      <w:r>
        <w:rPr>
          <w:rFonts w:hint="eastAsia" w:ascii="宋体" w:hAnsi="宋体" w:cs="宋体"/>
          <w:sz w:val="28"/>
          <w:szCs w:val="28"/>
        </w:rPr>
        <w:t>1）资格</w:t>
      </w:r>
      <w:r>
        <w:rPr>
          <w:rFonts w:ascii="宋体" w:hAnsi="宋体" w:cs="宋体"/>
          <w:sz w:val="28"/>
          <w:szCs w:val="28"/>
        </w:rPr>
        <w:t>预审标</w:t>
      </w:r>
    </w:p>
    <w:p w14:paraId="78C16186">
      <w:pPr>
        <w:pStyle w:val="3"/>
        <w:spacing w:line="360" w:lineRule="auto"/>
        <w:ind w:firstLine="570"/>
        <w:rPr>
          <w:rFonts w:ascii="宋体" w:hAnsi="宋体" w:cs="宋体"/>
          <w:sz w:val="28"/>
          <w:szCs w:val="28"/>
        </w:rPr>
      </w:pPr>
      <w:r>
        <w:rPr>
          <w:rFonts w:hint="eastAsia" w:ascii="宋体" w:hAnsi="宋体" w:cs="宋体"/>
          <w:sz w:val="28"/>
          <w:szCs w:val="28"/>
        </w:rPr>
        <w:t>资格预审标书需根据资格预审要求编制，并在资格预审标书首页根据资格预审评分一览表上注明评分内容对应的资料页码，投标人要提供相应的资信材料、投标人的法人授权证明。资格预审书分别为一正本一副本，密封后在规定时间内寄到招标方指定地点。资格</w:t>
      </w:r>
      <w:r>
        <w:rPr>
          <w:rFonts w:ascii="宋体" w:hAnsi="宋体" w:cs="宋体"/>
          <w:sz w:val="28"/>
          <w:szCs w:val="28"/>
        </w:rPr>
        <w:t>预审得分超过</w:t>
      </w:r>
      <w:r>
        <w:rPr>
          <w:rFonts w:hint="eastAsia" w:ascii="宋体" w:hAnsi="宋体" w:cs="宋体"/>
          <w:sz w:val="28"/>
          <w:szCs w:val="28"/>
          <w:lang w:val="en-US" w:eastAsia="zh-CN"/>
        </w:rPr>
        <w:t>6</w:t>
      </w:r>
      <w:r>
        <w:rPr>
          <w:rFonts w:hint="eastAsia" w:ascii="宋体" w:hAnsi="宋体" w:cs="宋体"/>
          <w:sz w:val="28"/>
          <w:szCs w:val="28"/>
        </w:rPr>
        <w:t>0分</w:t>
      </w:r>
      <w:r>
        <w:rPr>
          <w:rFonts w:ascii="宋体" w:hAnsi="宋体" w:cs="宋体"/>
          <w:sz w:val="28"/>
          <w:szCs w:val="28"/>
        </w:rPr>
        <w:t>方可进</w:t>
      </w:r>
      <w:r>
        <w:rPr>
          <w:rFonts w:hint="eastAsia" w:ascii="宋体" w:hAnsi="宋体" w:cs="宋体"/>
          <w:sz w:val="28"/>
          <w:szCs w:val="28"/>
        </w:rPr>
        <w:t>入</w:t>
      </w:r>
      <w:r>
        <w:rPr>
          <w:rFonts w:ascii="宋体" w:hAnsi="宋体" w:cs="宋体"/>
          <w:sz w:val="28"/>
          <w:szCs w:val="28"/>
        </w:rPr>
        <w:t>正式投标。</w:t>
      </w:r>
    </w:p>
    <w:tbl>
      <w:tblPr>
        <w:tblStyle w:val="5"/>
        <w:tblW w:w="9220"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63"/>
        <w:gridCol w:w="1714"/>
        <w:gridCol w:w="845"/>
        <w:gridCol w:w="5898"/>
      </w:tblGrid>
      <w:tr w14:paraId="6D25AA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9"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277B4B">
            <w:pPr>
              <w:keepNext w:val="0"/>
              <w:keepLines w:val="0"/>
              <w:widowControl/>
              <w:suppressLineNumbers w:val="0"/>
              <w:jc w:val="both"/>
              <w:textAlignment w:val="center"/>
              <w:rPr>
                <w:rFonts w:hint="eastAsia" w:ascii="宋体" w:hAnsi="宋体" w:eastAsia="宋体" w:cs="宋体"/>
                <w:b/>
                <w:bCs/>
                <w:i w:val="0"/>
                <w:iCs w:val="0"/>
                <w:color w:val="000000"/>
                <w:kern w:val="0"/>
                <w:sz w:val="24"/>
                <w:szCs w:val="24"/>
                <w:u w:val="none"/>
                <w:lang w:val="en-US" w:eastAsia="zh-CN" w:bidi="ar"/>
              </w:rPr>
            </w:pPr>
          </w:p>
          <w:p w14:paraId="204295B3">
            <w:pPr>
              <w:keepNext w:val="0"/>
              <w:keepLines w:val="0"/>
              <w:widowControl/>
              <w:suppressLineNumbers w:val="0"/>
              <w:jc w:val="center"/>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福建科达新能源科技有限公司铜铝废旧物资售卖项目资格预审评分表</w:t>
            </w:r>
          </w:p>
          <w:p w14:paraId="41950B5E">
            <w:pPr>
              <w:keepNext w:val="0"/>
              <w:keepLines w:val="0"/>
              <w:widowControl/>
              <w:suppressLineNumbers w:val="0"/>
              <w:jc w:val="both"/>
              <w:textAlignment w:val="center"/>
              <w:rPr>
                <w:rFonts w:hint="eastAsia" w:ascii="宋体" w:hAnsi="宋体" w:eastAsia="宋体" w:cs="宋体"/>
                <w:b/>
                <w:bCs/>
                <w:i w:val="0"/>
                <w:iCs w:val="0"/>
                <w:color w:val="000000"/>
                <w:kern w:val="0"/>
                <w:sz w:val="24"/>
                <w:szCs w:val="24"/>
                <w:u w:val="none"/>
                <w:lang w:val="en-US" w:eastAsia="zh-CN" w:bidi="ar"/>
              </w:rPr>
            </w:pPr>
          </w:p>
        </w:tc>
      </w:tr>
      <w:tr w14:paraId="2C43CD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6563546">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1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29D7D8">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评审内容</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A2B639">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分值</w:t>
            </w:r>
          </w:p>
        </w:tc>
        <w:tc>
          <w:tcPr>
            <w:tcW w:w="58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822DB9">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 xml:space="preserve">评分标准                 </w:t>
            </w:r>
          </w:p>
        </w:tc>
      </w:tr>
      <w:tr w14:paraId="0B153C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1"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23773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71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0A1092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企业资质</w:t>
            </w:r>
          </w:p>
        </w:tc>
        <w:tc>
          <w:tcPr>
            <w:tcW w:w="8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E0F2F48">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cs="宋体"/>
                <w:i w:val="0"/>
                <w:iCs w:val="0"/>
                <w:color w:val="000000"/>
                <w:kern w:val="0"/>
                <w:sz w:val="20"/>
                <w:szCs w:val="20"/>
                <w:u w:val="none"/>
                <w:lang w:val="en-US" w:eastAsia="zh-CN" w:bidi="ar"/>
              </w:rPr>
              <w:t>30</w:t>
            </w:r>
          </w:p>
        </w:tc>
        <w:tc>
          <w:tcPr>
            <w:tcW w:w="589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96B1A9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投标人具有营业执照、税务登记证、组织机构代码证，或按照“三证合一”登记制度登记，执照有效。</w:t>
            </w:r>
            <w:r>
              <w:rPr>
                <w:rFonts w:hint="eastAsia" w:ascii="宋体" w:hAnsi="宋体" w:cs="宋体"/>
                <w:i w:val="0"/>
                <w:iCs w:val="0"/>
                <w:color w:val="000000"/>
                <w:kern w:val="0"/>
                <w:sz w:val="20"/>
                <w:szCs w:val="20"/>
                <w:u w:val="none"/>
                <w:lang w:val="en-US" w:eastAsia="zh-CN" w:bidi="ar"/>
              </w:rPr>
              <w:t>且</w:t>
            </w:r>
            <w:r>
              <w:rPr>
                <w:rFonts w:hint="eastAsia" w:ascii="宋体" w:hAnsi="宋体" w:eastAsia="宋体" w:cs="宋体"/>
                <w:i w:val="0"/>
                <w:iCs w:val="0"/>
                <w:color w:val="000000"/>
                <w:kern w:val="0"/>
                <w:sz w:val="20"/>
                <w:szCs w:val="20"/>
                <w:u w:val="none"/>
                <w:lang w:val="en-US" w:eastAsia="zh-CN" w:bidi="ar"/>
              </w:rPr>
              <w:t>营业执照经营范围须包含“废旧金属回收”“再生资源回收”或相关铜铝材料回收、加工、销售业务</w:t>
            </w:r>
            <w:r>
              <w:rPr>
                <w:rFonts w:hint="eastAsia" w:ascii="宋体" w:hAnsi="宋体" w:cs="宋体"/>
                <w:i w:val="0"/>
                <w:iCs w:val="0"/>
                <w:color w:val="000000"/>
                <w:kern w:val="0"/>
                <w:sz w:val="20"/>
                <w:szCs w:val="20"/>
                <w:u w:val="none"/>
                <w:lang w:val="en-US" w:eastAsia="zh-CN" w:bidi="ar"/>
              </w:rPr>
              <w:t>。符合者</w:t>
            </w:r>
            <w:r>
              <w:rPr>
                <w:rFonts w:hint="eastAsia" w:ascii="宋体" w:hAnsi="宋体" w:eastAsia="宋体" w:cs="宋体"/>
                <w:i w:val="0"/>
                <w:iCs w:val="0"/>
                <w:color w:val="000000"/>
                <w:kern w:val="0"/>
                <w:sz w:val="20"/>
                <w:szCs w:val="20"/>
                <w:u w:val="none"/>
                <w:lang w:val="en-US" w:eastAsia="zh-CN" w:bidi="ar"/>
              </w:rPr>
              <w:t>得35分；不符合</w:t>
            </w:r>
            <w:r>
              <w:rPr>
                <w:rFonts w:hint="eastAsia" w:ascii="宋体" w:hAnsi="宋体" w:cs="宋体"/>
                <w:i w:val="0"/>
                <w:iCs w:val="0"/>
                <w:color w:val="000000"/>
                <w:kern w:val="0"/>
                <w:sz w:val="20"/>
                <w:szCs w:val="20"/>
                <w:u w:val="none"/>
                <w:lang w:val="en-US" w:eastAsia="zh-CN" w:bidi="ar"/>
              </w:rPr>
              <w:t>者</w:t>
            </w:r>
            <w:r>
              <w:rPr>
                <w:rFonts w:hint="eastAsia" w:ascii="宋体" w:hAnsi="宋体" w:eastAsia="宋体" w:cs="宋体"/>
                <w:i w:val="0"/>
                <w:iCs w:val="0"/>
                <w:color w:val="000000"/>
                <w:kern w:val="0"/>
                <w:sz w:val="20"/>
                <w:szCs w:val="20"/>
                <w:u w:val="none"/>
                <w:lang w:val="en-US" w:eastAsia="zh-CN" w:bidi="ar"/>
              </w:rPr>
              <w:t>，为否决项。</w:t>
            </w:r>
          </w:p>
        </w:tc>
      </w:tr>
      <w:tr w14:paraId="4760B1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3AA12D">
            <w:pPr>
              <w:jc w:val="center"/>
              <w:rPr>
                <w:rFonts w:hint="eastAsia" w:ascii="宋体" w:hAnsi="宋体" w:eastAsia="宋体" w:cs="宋体"/>
                <w:i w:val="0"/>
                <w:iCs w:val="0"/>
                <w:color w:val="000000"/>
                <w:sz w:val="20"/>
                <w:szCs w:val="20"/>
                <w:u w:val="none"/>
              </w:rPr>
            </w:pPr>
          </w:p>
        </w:tc>
        <w:tc>
          <w:tcPr>
            <w:tcW w:w="17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B30EEE">
            <w:pPr>
              <w:jc w:val="left"/>
              <w:rPr>
                <w:rFonts w:hint="eastAsia" w:ascii="宋体" w:hAnsi="宋体" w:eastAsia="宋体" w:cs="宋体"/>
                <w:i w:val="0"/>
                <w:iCs w:val="0"/>
                <w:color w:val="000000"/>
                <w:sz w:val="20"/>
                <w:szCs w:val="20"/>
                <w:u w:val="none"/>
              </w:rPr>
            </w:pPr>
          </w:p>
        </w:tc>
        <w:tc>
          <w:tcPr>
            <w:tcW w:w="8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C891D1">
            <w:pPr>
              <w:jc w:val="center"/>
              <w:rPr>
                <w:rFonts w:hint="eastAsia" w:ascii="宋体" w:hAnsi="宋体" w:eastAsia="宋体" w:cs="宋体"/>
                <w:i w:val="0"/>
                <w:iCs w:val="0"/>
                <w:color w:val="000000"/>
                <w:sz w:val="20"/>
                <w:szCs w:val="20"/>
                <w:u w:val="none"/>
              </w:rPr>
            </w:pPr>
          </w:p>
        </w:tc>
        <w:tc>
          <w:tcPr>
            <w:tcW w:w="58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62912E">
            <w:pPr>
              <w:jc w:val="left"/>
              <w:rPr>
                <w:rFonts w:hint="eastAsia" w:ascii="宋体" w:hAnsi="宋体" w:eastAsia="宋体" w:cs="宋体"/>
                <w:i w:val="0"/>
                <w:iCs w:val="0"/>
                <w:color w:val="000000"/>
                <w:sz w:val="20"/>
                <w:szCs w:val="20"/>
                <w:u w:val="none"/>
              </w:rPr>
            </w:pPr>
          </w:p>
        </w:tc>
      </w:tr>
      <w:tr w14:paraId="64AC35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95576C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71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908C96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注册资金</w:t>
            </w:r>
          </w:p>
        </w:tc>
        <w:tc>
          <w:tcPr>
            <w:tcW w:w="8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330C0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589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EA6907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1、注册资金≥</w:t>
            </w:r>
            <w:r>
              <w:rPr>
                <w:rFonts w:hint="eastAsia" w:ascii="宋体" w:hAnsi="宋体" w:cs="宋体"/>
                <w:i w:val="0"/>
                <w:iCs w:val="0"/>
                <w:color w:val="000000"/>
                <w:kern w:val="0"/>
                <w:sz w:val="20"/>
                <w:szCs w:val="20"/>
                <w:u w:val="none"/>
                <w:lang w:val="en-US" w:eastAsia="zh-CN" w:bidi="ar"/>
              </w:rPr>
              <w:t>200万</w:t>
            </w:r>
            <w:r>
              <w:rPr>
                <w:rFonts w:hint="eastAsia" w:ascii="宋体" w:hAnsi="宋体" w:eastAsia="宋体" w:cs="宋体"/>
                <w:i w:val="0"/>
                <w:iCs w:val="0"/>
                <w:color w:val="000000"/>
                <w:kern w:val="0"/>
                <w:sz w:val="20"/>
                <w:szCs w:val="20"/>
                <w:u w:val="none"/>
                <w:lang w:val="en-US" w:eastAsia="zh-CN" w:bidi="ar"/>
              </w:rPr>
              <w:t>，得10分；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w:t>
            </w:r>
            <w:r>
              <w:rPr>
                <w:rFonts w:hint="eastAsia" w:ascii="宋体" w:hAnsi="宋体" w:cs="宋体"/>
                <w:i w:val="0"/>
                <w:iCs w:val="0"/>
                <w:color w:val="000000"/>
                <w:kern w:val="0"/>
                <w:sz w:val="20"/>
                <w:szCs w:val="20"/>
                <w:u w:val="none"/>
                <w:lang w:val="en-US" w:eastAsia="zh-CN" w:bidi="ar"/>
              </w:rPr>
              <w:t>100万</w:t>
            </w:r>
            <w:r>
              <w:rPr>
                <w:rFonts w:hint="eastAsia" w:ascii="宋体" w:hAnsi="宋体" w:eastAsia="宋体" w:cs="宋体"/>
                <w:i w:val="0"/>
                <w:iCs w:val="0"/>
                <w:color w:val="000000"/>
                <w:kern w:val="0"/>
                <w:sz w:val="20"/>
                <w:szCs w:val="20"/>
                <w:u w:val="none"/>
                <w:lang w:val="en-US" w:eastAsia="zh-CN" w:bidi="ar"/>
              </w:rPr>
              <w:t>元≤注册资金&lt;</w:t>
            </w:r>
            <w:r>
              <w:rPr>
                <w:rFonts w:hint="eastAsia" w:ascii="宋体" w:hAnsi="宋体" w:cs="宋体"/>
                <w:i w:val="0"/>
                <w:iCs w:val="0"/>
                <w:color w:val="000000"/>
                <w:kern w:val="0"/>
                <w:sz w:val="20"/>
                <w:szCs w:val="20"/>
                <w:u w:val="none"/>
                <w:lang w:val="en-US" w:eastAsia="zh-CN" w:bidi="ar"/>
              </w:rPr>
              <w:t>200万</w:t>
            </w:r>
            <w:r>
              <w:rPr>
                <w:rFonts w:hint="eastAsia" w:ascii="宋体" w:hAnsi="宋体" w:eastAsia="宋体" w:cs="宋体"/>
                <w:i w:val="0"/>
                <w:iCs w:val="0"/>
                <w:color w:val="000000"/>
                <w:kern w:val="0"/>
                <w:sz w:val="20"/>
                <w:szCs w:val="20"/>
                <w:u w:val="none"/>
                <w:lang w:val="en-US" w:eastAsia="zh-CN" w:bidi="ar"/>
              </w:rPr>
              <w:t>元，得7分；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w:t>
            </w:r>
            <w:r>
              <w:rPr>
                <w:rFonts w:hint="eastAsia" w:ascii="宋体" w:hAnsi="宋体" w:cs="宋体"/>
                <w:i w:val="0"/>
                <w:iCs w:val="0"/>
                <w:color w:val="000000"/>
                <w:kern w:val="0"/>
                <w:sz w:val="20"/>
                <w:szCs w:val="20"/>
                <w:u w:val="none"/>
                <w:lang w:val="en-US" w:eastAsia="zh-CN" w:bidi="ar"/>
              </w:rPr>
              <w:t>50万</w:t>
            </w:r>
            <w:r>
              <w:rPr>
                <w:rFonts w:hint="eastAsia" w:ascii="宋体" w:hAnsi="宋体" w:eastAsia="宋体" w:cs="宋体"/>
                <w:i w:val="0"/>
                <w:iCs w:val="0"/>
                <w:color w:val="000000"/>
                <w:kern w:val="0"/>
                <w:sz w:val="20"/>
                <w:szCs w:val="20"/>
                <w:u w:val="none"/>
                <w:lang w:val="en-US" w:eastAsia="zh-CN" w:bidi="ar"/>
              </w:rPr>
              <w:t>元≤注册资金&lt;</w:t>
            </w:r>
            <w:r>
              <w:rPr>
                <w:rFonts w:hint="eastAsia" w:ascii="宋体" w:hAnsi="宋体" w:cs="宋体"/>
                <w:i w:val="0"/>
                <w:iCs w:val="0"/>
                <w:color w:val="000000"/>
                <w:kern w:val="0"/>
                <w:sz w:val="20"/>
                <w:szCs w:val="20"/>
                <w:u w:val="none"/>
                <w:lang w:val="en-US" w:eastAsia="zh-CN" w:bidi="ar"/>
              </w:rPr>
              <w:t>100万</w:t>
            </w:r>
            <w:r>
              <w:rPr>
                <w:rFonts w:hint="eastAsia" w:ascii="宋体" w:hAnsi="宋体" w:eastAsia="宋体" w:cs="宋体"/>
                <w:i w:val="0"/>
                <w:iCs w:val="0"/>
                <w:color w:val="000000"/>
                <w:kern w:val="0"/>
                <w:sz w:val="20"/>
                <w:szCs w:val="20"/>
                <w:u w:val="none"/>
                <w:lang w:val="en-US" w:eastAsia="zh-CN" w:bidi="ar"/>
              </w:rPr>
              <w:t>元，得5分；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4、注册资金＜</w:t>
            </w:r>
            <w:r>
              <w:rPr>
                <w:rFonts w:hint="eastAsia" w:ascii="宋体" w:hAnsi="宋体" w:cs="宋体"/>
                <w:i w:val="0"/>
                <w:iCs w:val="0"/>
                <w:color w:val="000000"/>
                <w:kern w:val="0"/>
                <w:sz w:val="20"/>
                <w:szCs w:val="20"/>
                <w:u w:val="none"/>
                <w:lang w:val="en-US" w:eastAsia="zh-CN" w:bidi="ar"/>
              </w:rPr>
              <w:t>50万</w:t>
            </w:r>
            <w:r>
              <w:rPr>
                <w:rFonts w:hint="eastAsia" w:ascii="宋体" w:hAnsi="宋体" w:eastAsia="宋体" w:cs="宋体"/>
                <w:i w:val="0"/>
                <w:iCs w:val="0"/>
                <w:color w:val="000000"/>
                <w:kern w:val="0"/>
                <w:sz w:val="20"/>
                <w:szCs w:val="20"/>
                <w:u w:val="none"/>
                <w:lang w:val="en-US" w:eastAsia="zh-CN" w:bidi="ar"/>
              </w:rPr>
              <w:t>，不得分。</w:t>
            </w:r>
          </w:p>
        </w:tc>
      </w:tr>
      <w:tr w14:paraId="6EE905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96B772">
            <w:pPr>
              <w:jc w:val="center"/>
              <w:rPr>
                <w:rFonts w:hint="eastAsia" w:ascii="宋体" w:hAnsi="宋体" w:eastAsia="宋体" w:cs="宋体"/>
                <w:i w:val="0"/>
                <w:iCs w:val="0"/>
                <w:color w:val="000000"/>
                <w:sz w:val="20"/>
                <w:szCs w:val="20"/>
                <w:u w:val="none"/>
              </w:rPr>
            </w:pPr>
          </w:p>
        </w:tc>
        <w:tc>
          <w:tcPr>
            <w:tcW w:w="17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4FAA3A">
            <w:pPr>
              <w:jc w:val="left"/>
              <w:rPr>
                <w:rFonts w:hint="eastAsia" w:ascii="宋体" w:hAnsi="宋体" w:eastAsia="宋体" w:cs="宋体"/>
                <w:i w:val="0"/>
                <w:iCs w:val="0"/>
                <w:color w:val="000000"/>
                <w:sz w:val="20"/>
                <w:szCs w:val="20"/>
                <w:u w:val="none"/>
              </w:rPr>
            </w:pPr>
          </w:p>
        </w:tc>
        <w:tc>
          <w:tcPr>
            <w:tcW w:w="8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42AEC4">
            <w:pPr>
              <w:jc w:val="center"/>
              <w:rPr>
                <w:rFonts w:hint="eastAsia" w:ascii="宋体" w:hAnsi="宋体" w:eastAsia="宋体" w:cs="宋体"/>
                <w:i w:val="0"/>
                <w:iCs w:val="0"/>
                <w:color w:val="000000"/>
                <w:sz w:val="20"/>
                <w:szCs w:val="20"/>
                <w:u w:val="none"/>
              </w:rPr>
            </w:pPr>
          </w:p>
        </w:tc>
        <w:tc>
          <w:tcPr>
            <w:tcW w:w="58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3A0F5A">
            <w:pPr>
              <w:jc w:val="left"/>
              <w:rPr>
                <w:rFonts w:hint="eastAsia" w:ascii="宋体" w:hAnsi="宋体" w:eastAsia="宋体" w:cs="宋体"/>
                <w:i w:val="0"/>
                <w:iCs w:val="0"/>
                <w:color w:val="000000"/>
                <w:sz w:val="20"/>
                <w:szCs w:val="20"/>
                <w:u w:val="none"/>
              </w:rPr>
            </w:pPr>
          </w:p>
        </w:tc>
      </w:tr>
      <w:tr w14:paraId="661C91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AF61E3">
            <w:pPr>
              <w:jc w:val="center"/>
              <w:rPr>
                <w:rFonts w:hint="eastAsia" w:ascii="宋体" w:hAnsi="宋体" w:eastAsia="宋体" w:cs="宋体"/>
                <w:i w:val="0"/>
                <w:iCs w:val="0"/>
                <w:color w:val="000000"/>
                <w:sz w:val="20"/>
                <w:szCs w:val="20"/>
                <w:u w:val="none"/>
              </w:rPr>
            </w:pPr>
          </w:p>
        </w:tc>
        <w:tc>
          <w:tcPr>
            <w:tcW w:w="17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BF5449">
            <w:pPr>
              <w:jc w:val="left"/>
              <w:rPr>
                <w:rFonts w:hint="eastAsia" w:ascii="宋体" w:hAnsi="宋体" w:eastAsia="宋体" w:cs="宋体"/>
                <w:i w:val="0"/>
                <w:iCs w:val="0"/>
                <w:color w:val="000000"/>
                <w:sz w:val="20"/>
                <w:szCs w:val="20"/>
                <w:u w:val="none"/>
              </w:rPr>
            </w:pPr>
          </w:p>
        </w:tc>
        <w:tc>
          <w:tcPr>
            <w:tcW w:w="8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783014">
            <w:pPr>
              <w:jc w:val="center"/>
              <w:rPr>
                <w:rFonts w:hint="eastAsia" w:ascii="宋体" w:hAnsi="宋体" w:eastAsia="宋体" w:cs="宋体"/>
                <w:i w:val="0"/>
                <w:iCs w:val="0"/>
                <w:color w:val="000000"/>
                <w:sz w:val="20"/>
                <w:szCs w:val="20"/>
                <w:u w:val="none"/>
              </w:rPr>
            </w:pPr>
          </w:p>
        </w:tc>
        <w:tc>
          <w:tcPr>
            <w:tcW w:w="58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1A90D6">
            <w:pPr>
              <w:jc w:val="left"/>
              <w:rPr>
                <w:rFonts w:hint="eastAsia" w:ascii="宋体" w:hAnsi="宋体" w:eastAsia="宋体" w:cs="宋体"/>
                <w:i w:val="0"/>
                <w:iCs w:val="0"/>
                <w:color w:val="000000"/>
                <w:sz w:val="20"/>
                <w:szCs w:val="20"/>
                <w:u w:val="none"/>
              </w:rPr>
            </w:pPr>
          </w:p>
        </w:tc>
      </w:tr>
      <w:tr w14:paraId="5E3003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9DBAB6">
            <w:pPr>
              <w:jc w:val="center"/>
              <w:rPr>
                <w:rFonts w:hint="eastAsia" w:ascii="宋体" w:hAnsi="宋体" w:eastAsia="宋体" w:cs="宋体"/>
                <w:i w:val="0"/>
                <w:iCs w:val="0"/>
                <w:color w:val="000000"/>
                <w:sz w:val="20"/>
                <w:szCs w:val="20"/>
                <w:u w:val="none"/>
              </w:rPr>
            </w:pPr>
          </w:p>
        </w:tc>
        <w:tc>
          <w:tcPr>
            <w:tcW w:w="17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9430C4">
            <w:pPr>
              <w:jc w:val="left"/>
              <w:rPr>
                <w:rFonts w:hint="eastAsia" w:ascii="宋体" w:hAnsi="宋体" w:eastAsia="宋体" w:cs="宋体"/>
                <w:i w:val="0"/>
                <w:iCs w:val="0"/>
                <w:color w:val="000000"/>
                <w:sz w:val="20"/>
                <w:szCs w:val="20"/>
                <w:u w:val="none"/>
              </w:rPr>
            </w:pPr>
          </w:p>
        </w:tc>
        <w:tc>
          <w:tcPr>
            <w:tcW w:w="8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18E7DF">
            <w:pPr>
              <w:jc w:val="center"/>
              <w:rPr>
                <w:rFonts w:hint="eastAsia" w:ascii="宋体" w:hAnsi="宋体" w:eastAsia="宋体" w:cs="宋体"/>
                <w:i w:val="0"/>
                <w:iCs w:val="0"/>
                <w:color w:val="000000"/>
                <w:sz w:val="20"/>
                <w:szCs w:val="20"/>
                <w:u w:val="none"/>
              </w:rPr>
            </w:pPr>
          </w:p>
        </w:tc>
        <w:tc>
          <w:tcPr>
            <w:tcW w:w="58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AED244">
            <w:pPr>
              <w:jc w:val="left"/>
              <w:rPr>
                <w:rFonts w:hint="eastAsia" w:ascii="宋体" w:hAnsi="宋体" w:eastAsia="宋体" w:cs="宋体"/>
                <w:i w:val="0"/>
                <w:iCs w:val="0"/>
                <w:color w:val="000000"/>
                <w:sz w:val="20"/>
                <w:szCs w:val="20"/>
                <w:u w:val="none"/>
              </w:rPr>
            </w:pPr>
          </w:p>
        </w:tc>
      </w:tr>
      <w:tr w14:paraId="367AEE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2"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75B46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71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CD0F42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证书及政府认可</w:t>
            </w:r>
          </w:p>
        </w:tc>
        <w:tc>
          <w:tcPr>
            <w:tcW w:w="8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D867216">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cs="宋体"/>
                <w:i w:val="0"/>
                <w:iCs w:val="0"/>
                <w:color w:val="000000"/>
                <w:kern w:val="0"/>
                <w:sz w:val="20"/>
                <w:szCs w:val="20"/>
                <w:u w:val="none"/>
                <w:lang w:val="en-US" w:eastAsia="zh-CN" w:bidi="ar"/>
              </w:rPr>
              <w:t>10</w:t>
            </w:r>
          </w:p>
        </w:tc>
        <w:tc>
          <w:tcPr>
            <w:tcW w:w="589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BFBD6F2">
            <w:pPr>
              <w:keepNext w:val="0"/>
              <w:keepLines w:val="0"/>
              <w:widowControl/>
              <w:suppressLineNumbers w:val="0"/>
              <w:jc w:val="left"/>
              <w:textAlignment w:val="center"/>
              <w:rPr>
                <w:rFonts w:hint="eastAsia" w:ascii="宋体" w:hAnsi="宋体" w:eastAsia="宋体" w:cs="宋体"/>
                <w:i w:val="0"/>
                <w:iCs w:val="0"/>
                <w:color w:val="000000"/>
                <w:sz w:val="20"/>
                <w:szCs w:val="20"/>
                <w:u w:val="none"/>
                <w:lang w:val="en-US" w:eastAsia="zh-CN"/>
              </w:rPr>
            </w:pPr>
            <w:r>
              <w:t>具备《危险废物经营许可证》（经营范围含废旧金属回收）或《再生资源回收经营备案登记表》，且在有效期内</w:t>
            </w:r>
            <w:r>
              <w:rPr>
                <w:rFonts w:hint="eastAsia"/>
                <w:lang w:eastAsia="zh-CN"/>
              </w:rPr>
              <w:t>。</w:t>
            </w:r>
          </w:p>
        </w:tc>
      </w:tr>
      <w:tr w14:paraId="08B6C0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3AB390">
            <w:pPr>
              <w:jc w:val="center"/>
              <w:rPr>
                <w:rFonts w:hint="eastAsia" w:ascii="宋体" w:hAnsi="宋体" w:eastAsia="宋体" w:cs="宋体"/>
                <w:i w:val="0"/>
                <w:iCs w:val="0"/>
                <w:color w:val="000000"/>
                <w:sz w:val="20"/>
                <w:szCs w:val="20"/>
                <w:u w:val="none"/>
              </w:rPr>
            </w:pPr>
          </w:p>
        </w:tc>
        <w:tc>
          <w:tcPr>
            <w:tcW w:w="17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CF400D">
            <w:pPr>
              <w:jc w:val="left"/>
              <w:rPr>
                <w:rFonts w:hint="eastAsia" w:ascii="宋体" w:hAnsi="宋体" w:eastAsia="宋体" w:cs="宋体"/>
                <w:i w:val="0"/>
                <w:iCs w:val="0"/>
                <w:color w:val="000000"/>
                <w:sz w:val="20"/>
                <w:szCs w:val="20"/>
                <w:u w:val="none"/>
              </w:rPr>
            </w:pPr>
          </w:p>
        </w:tc>
        <w:tc>
          <w:tcPr>
            <w:tcW w:w="8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30A9E0">
            <w:pPr>
              <w:jc w:val="center"/>
              <w:rPr>
                <w:rFonts w:hint="eastAsia" w:ascii="宋体" w:hAnsi="宋体" w:eastAsia="宋体" w:cs="宋体"/>
                <w:i w:val="0"/>
                <w:iCs w:val="0"/>
                <w:color w:val="000000"/>
                <w:sz w:val="20"/>
                <w:szCs w:val="20"/>
                <w:u w:val="none"/>
              </w:rPr>
            </w:pPr>
          </w:p>
        </w:tc>
        <w:tc>
          <w:tcPr>
            <w:tcW w:w="58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F323BB">
            <w:pPr>
              <w:jc w:val="left"/>
              <w:rPr>
                <w:rFonts w:hint="eastAsia" w:ascii="宋体" w:hAnsi="宋体" w:eastAsia="宋体" w:cs="宋体"/>
                <w:i w:val="0"/>
                <w:iCs w:val="0"/>
                <w:color w:val="000000"/>
                <w:sz w:val="20"/>
                <w:szCs w:val="20"/>
                <w:u w:val="none"/>
              </w:rPr>
            </w:pPr>
          </w:p>
        </w:tc>
      </w:tr>
      <w:tr w14:paraId="7408D9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49914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1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543E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企业业绩</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14C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58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42FCA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t>近</w:t>
            </w:r>
            <w:r>
              <w:rPr>
                <w:rFonts w:hint="eastAsia"/>
                <w:lang w:val="en-US" w:eastAsia="zh-CN"/>
              </w:rPr>
              <w:t>3</w:t>
            </w:r>
            <w:r>
              <w:t>年内具有同类铜铝废旧物资回收处置业绩（需提供至少 2 份合同复印件，合同金额≥</w:t>
            </w:r>
            <w:r>
              <w:rPr>
                <w:rFonts w:hint="eastAsia"/>
                <w:lang w:val="en-US" w:eastAsia="zh-CN"/>
              </w:rPr>
              <w:t>100</w:t>
            </w:r>
            <w:r>
              <w:t xml:space="preserve"> 万元）</w:t>
            </w:r>
          </w:p>
        </w:tc>
      </w:tr>
      <w:tr w14:paraId="401770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0F899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E8A81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组织结构</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55976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58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A909A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有完整的组织框架机构及员工数量，并提供70%职工人数及职工参加“三险”的记录，5分</w:t>
            </w:r>
          </w:p>
        </w:tc>
      </w:tr>
      <w:tr w14:paraId="27C997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1"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C8245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171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DFD090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利润状况、资金流动状况</w:t>
            </w:r>
          </w:p>
        </w:tc>
        <w:tc>
          <w:tcPr>
            <w:tcW w:w="8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CD515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589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3E683A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2024年现金流净流入为负数不得分，100万以内得3分，100万-200万得4分，200万以上得5分；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2024年净利润</w:t>
            </w:r>
            <w:r>
              <w:rPr>
                <w:rFonts w:hint="eastAsia" w:ascii="宋体" w:hAnsi="宋体" w:cs="宋体"/>
                <w:i w:val="0"/>
                <w:iCs w:val="0"/>
                <w:color w:val="000000"/>
                <w:kern w:val="0"/>
                <w:sz w:val="20"/>
                <w:szCs w:val="20"/>
                <w:u w:val="none"/>
                <w:lang w:val="en-US" w:eastAsia="zh-CN" w:bidi="ar"/>
              </w:rPr>
              <w:t>3</w:t>
            </w:r>
            <w:r>
              <w:rPr>
                <w:rFonts w:hint="eastAsia" w:ascii="宋体" w:hAnsi="宋体" w:eastAsia="宋体" w:cs="宋体"/>
                <w:i w:val="0"/>
                <w:iCs w:val="0"/>
                <w:color w:val="000000"/>
                <w:kern w:val="0"/>
                <w:sz w:val="20"/>
                <w:szCs w:val="20"/>
                <w:u w:val="none"/>
                <w:lang w:val="en-US" w:eastAsia="zh-CN" w:bidi="ar"/>
              </w:rPr>
              <w:t>0万以下得3分，30-</w:t>
            </w:r>
            <w:r>
              <w:rPr>
                <w:rFonts w:hint="eastAsia" w:ascii="宋体" w:hAnsi="宋体" w:cs="宋体"/>
                <w:i w:val="0"/>
                <w:iCs w:val="0"/>
                <w:color w:val="000000"/>
                <w:kern w:val="0"/>
                <w:sz w:val="20"/>
                <w:szCs w:val="20"/>
                <w:u w:val="none"/>
                <w:lang w:val="en-US" w:eastAsia="zh-CN" w:bidi="ar"/>
              </w:rPr>
              <w:t>5</w:t>
            </w:r>
            <w:r>
              <w:rPr>
                <w:rFonts w:hint="eastAsia" w:ascii="宋体" w:hAnsi="宋体" w:eastAsia="宋体" w:cs="宋体"/>
                <w:i w:val="0"/>
                <w:iCs w:val="0"/>
                <w:color w:val="000000"/>
                <w:kern w:val="0"/>
                <w:sz w:val="20"/>
                <w:szCs w:val="20"/>
                <w:u w:val="none"/>
                <w:lang w:val="en-US" w:eastAsia="zh-CN" w:bidi="ar"/>
              </w:rPr>
              <w:t>0万得4分，</w:t>
            </w:r>
            <w:r>
              <w:rPr>
                <w:rFonts w:hint="eastAsia" w:ascii="宋体" w:hAnsi="宋体" w:cs="宋体"/>
                <w:i w:val="0"/>
                <w:iCs w:val="0"/>
                <w:color w:val="000000"/>
                <w:kern w:val="0"/>
                <w:sz w:val="20"/>
                <w:szCs w:val="20"/>
                <w:u w:val="none"/>
                <w:lang w:val="en-US" w:eastAsia="zh-CN" w:bidi="ar"/>
              </w:rPr>
              <w:t>5</w:t>
            </w:r>
            <w:r>
              <w:rPr>
                <w:rFonts w:hint="eastAsia" w:ascii="宋体" w:hAnsi="宋体" w:eastAsia="宋体" w:cs="宋体"/>
                <w:i w:val="0"/>
                <w:iCs w:val="0"/>
                <w:color w:val="000000"/>
                <w:kern w:val="0"/>
                <w:sz w:val="20"/>
                <w:szCs w:val="20"/>
                <w:u w:val="none"/>
                <w:lang w:val="en-US" w:eastAsia="zh-CN" w:bidi="ar"/>
              </w:rPr>
              <w:t>0万以上得5分；2024年营业收入</w:t>
            </w:r>
            <w:r>
              <w:rPr>
                <w:rFonts w:hint="eastAsia" w:ascii="宋体" w:hAnsi="宋体" w:cs="宋体"/>
                <w:i w:val="0"/>
                <w:iCs w:val="0"/>
                <w:color w:val="000000"/>
                <w:kern w:val="0"/>
                <w:sz w:val="20"/>
                <w:szCs w:val="20"/>
                <w:u w:val="none"/>
                <w:lang w:val="en-US" w:eastAsia="zh-CN" w:bidi="ar"/>
              </w:rPr>
              <w:t>100</w:t>
            </w:r>
            <w:r>
              <w:rPr>
                <w:rFonts w:hint="eastAsia" w:ascii="宋体" w:hAnsi="宋体" w:eastAsia="宋体" w:cs="宋体"/>
                <w:i w:val="0"/>
                <w:iCs w:val="0"/>
                <w:color w:val="000000"/>
                <w:kern w:val="0"/>
                <w:sz w:val="20"/>
                <w:szCs w:val="20"/>
                <w:u w:val="none"/>
                <w:lang w:val="en-US" w:eastAsia="zh-CN" w:bidi="ar"/>
              </w:rPr>
              <w:t>万以内的，得3分，</w:t>
            </w:r>
            <w:r>
              <w:rPr>
                <w:rFonts w:hint="eastAsia" w:ascii="宋体" w:hAnsi="宋体" w:cs="宋体"/>
                <w:i w:val="0"/>
                <w:iCs w:val="0"/>
                <w:color w:val="000000"/>
                <w:kern w:val="0"/>
                <w:sz w:val="20"/>
                <w:szCs w:val="20"/>
                <w:u w:val="none"/>
                <w:lang w:val="en-US" w:eastAsia="zh-CN" w:bidi="ar"/>
              </w:rPr>
              <w:t>100</w:t>
            </w:r>
            <w:r>
              <w:rPr>
                <w:rFonts w:hint="eastAsia" w:ascii="宋体" w:hAnsi="宋体" w:eastAsia="宋体" w:cs="宋体"/>
                <w:i w:val="0"/>
                <w:iCs w:val="0"/>
                <w:color w:val="000000"/>
                <w:kern w:val="0"/>
                <w:sz w:val="20"/>
                <w:szCs w:val="20"/>
                <w:u w:val="none"/>
                <w:lang w:val="en-US" w:eastAsia="zh-CN" w:bidi="ar"/>
              </w:rPr>
              <w:t>万-</w:t>
            </w:r>
            <w:r>
              <w:rPr>
                <w:rFonts w:hint="eastAsia" w:ascii="宋体" w:hAnsi="宋体" w:cs="宋体"/>
                <w:i w:val="0"/>
                <w:iCs w:val="0"/>
                <w:color w:val="000000"/>
                <w:kern w:val="0"/>
                <w:sz w:val="20"/>
                <w:szCs w:val="20"/>
                <w:u w:val="none"/>
                <w:lang w:val="en-US" w:eastAsia="zh-CN" w:bidi="ar"/>
              </w:rPr>
              <w:t>500</w:t>
            </w:r>
            <w:r>
              <w:rPr>
                <w:rFonts w:hint="eastAsia" w:ascii="宋体" w:hAnsi="宋体" w:eastAsia="宋体" w:cs="宋体"/>
                <w:i w:val="0"/>
                <w:iCs w:val="0"/>
                <w:color w:val="000000"/>
                <w:kern w:val="0"/>
                <w:sz w:val="20"/>
                <w:szCs w:val="20"/>
                <w:u w:val="none"/>
                <w:lang w:val="en-US" w:eastAsia="zh-CN" w:bidi="ar"/>
              </w:rPr>
              <w:t>万的，得4分，500万以上的，得5分；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2024年资产负债率为60%的，得5分，负债率每高5%的，扣1分，最高扣除5分；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本项最高得分20分。</w:t>
            </w:r>
          </w:p>
        </w:tc>
      </w:tr>
      <w:tr w14:paraId="24DAFB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1"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01C7BD">
            <w:pPr>
              <w:jc w:val="center"/>
              <w:rPr>
                <w:rFonts w:hint="eastAsia" w:ascii="宋体" w:hAnsi="宋体" w:eastAsia="宋体" w:cs="宋体"/>
                <w:i w:val="0"/>
                <w:iCs w:val="0"/>
                <w:color w:val="000000"/>
                <w:sz w:val="20"/>
                <w:szCs w:val="20"/>
                <w:u w:val="none"/>
              </w:rPr>
            </w:pPr>
          </w:p>
        </w:tc>
        <w:tc>
          <w:tcPr>
            <w:tcW w:w="17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2A5298">
            <w:pPr>
              <w:jc w:val="left"/>
              <w:rPr>
                <w:rFonts w:hint="eastAsia" w:ascii="宋体" w:hAnsi="宋体" w:eastAsia="宋体" w:cs="宋体"/>
                <w:i w:val="0"/>
                <w:iCs w:val="0"/>
                <w:color w:val="000000"/>
                <w:sz w:val="20"/>
                <w:szCs w:val="20"/>
                <w:u w:val="none"/>
              </w:rPr>
            </w:pPr>
          </w:p>
        </w:tc>
        <w:tc>
          <w:tcPr>
            <w:tcW w:w="8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AC9BF5">
            <w:pPr>
              <w:jc w:val="center"/>
              <w:rPr>
                <w:rFonts w:hint="eastAsia" w:ascii="宋体" w:hAnsi="宋体" w:eastAsia="宋体" w:cs="宋体"/>
                <w:i w:val="0"/>
                <w:iCs w:val="0"/>
                <w:color w:val="000000"/>
                <w:sz w:val="20"/>
                <w:szCs w:val="20"/>
                <w:u w:val="none"/>
              </w:rPr>
            </w:pPr>
          </w:p>
        </w:tc>
        <w:tc>
          <w:tcPr>
            <w:tcW w:w="58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C86095">
            <w:pPr>
              <w:jc w:val="left"/>
              <w:rPr>
                <w:rFonts w:hint="eastAsia" w:ascii="宋体" w:hAnsi="宋体" w:eastAsia="宋体" w:cs="宋体"/>
                <w:i w:val="0"/>
                <w:iCs w:val="0"/>
                <w:color w:val="000000"/>
                <w:sz w:val="20"/>
                <w:szCs w:val="20"/>
                <w:u w:val="none"/>
              </w:rPr>
            </w:pPr>
          </w:p>
        </w:tc>
      </w:tr>
      <w:tr w14:paraId="087CFA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1"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15B63B">
            <w:pPr>
              <w:jc w:val="center"/>
              <w:rPr>
                <w:rFonts w:hint="eastAsia" w:ascii="宋体" w:hAnsi="宋体" w:eastAsia="宋体" w:cs="宋体"/>
                <w:i w:val="0"/>
                <w:iCs w:val="0"/>
                <w:color w:val="000000"/>
                <w:sz w:val="20"/>
                <w:szCs w:val="20"/>
                <w:u w:val="none"/>
              </w:rPr>
            </w:pPr>
          </w:p>
        </w:tc>
        <w:tc>
          <w:tcPr>
            <w:tcW w:w="17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3E15F7">
            <w:pPr>
              <w:jc w:val="left"/>
              <w:rPr>
                <w:rFonts w:hint="eastAsia" w:ascii="宋体" w:hAnsi="宋体" w:eastAsia="宋体" w:cs="宋体"/>
                <w:i w:val="0"/>
                <w:iCs w:val="0"/>
                <w:color w:val="000000"/>
                <w:sz w:val="20"/>
                <w:szCs w:val="20"/>
                <w:u w:val="none"/>
              </w:rPr>
            </w:pPr>
          </w:p>
        </w:tc>
        <w:tc>
          <w:tcPr>
            <w:tcW w:w="8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B9639A">
            <w:pPr>
              <w:jc w:val="center"/>
              <w:rPr>
                <w:rFonts w:hint="eastAsia" w:ascii="宋体" w:hAnsi="宋体" w:eastAsia="宋体" w:cs="宋体"/>
                <w:i w:val="0"/>
                <w:iCs w:val="0"/>
                <w:color w:val="000000"/>
                <w:sz w:val="20"/>
                <w:szCs w:val="20"/>
                <w:u w:val="none"/>
              </w:rPr>
            </w:pPr>
          </w:p>
        </w:tc>
        <w:tc>
          <w:tcPr>
            <w:tcW w:w="58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FDD482">
            <w:pPr>
              <w:jc w:val="left"/>
              <w:rPr>
                <w:rFonts w:hint="eastAsia" w:ascii="宋体" w:hAnsi="宋体" w:eastAsia="宋体" w:cs="宋体"/>
                <w:i w:val="0"/>
                <w:iCs w:val="0"/>
                <w:color w:val="000000"/>
                <w:sz w:val="20"/>
                <w:szCs w:val="20"/>
                <w:u w:val="none"/>
              </w:rPr>
            </w:pPr>
          </w:p>
        </w:tc>
      </w:tr>
      <w:tr w14:paraId="64BE94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1"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DC98CA">
            <w:pPr>
              <w:jc w:val="center"/>
              <w:rPr>
                <w:rFonts w:hint="eastAsia" w:ascii="宋体" w:hAnsi="宋体" w:eastAsia="宋体" w:cs="宋体"/>
                <w:i w:val="0"/>
                <w:iCs w:val="0"/>
                <w:color w:val="000000"/>
                <w:sz w:val="20"/>
                <w:szCs w:val="20"/>
                <w:u w:val="none"/>
              </w:rPr>
            </w:pPr>
          </w:p>
        </w:tc>
        <w:tc>
          <w:tcPr>
            <w:tcW w:w="17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50F8DE">
            <w:pPr>
              <w:jc w:val="left"/>
              <w:rPr>
                <w:rFonts w:hint="eastAsia" w:ascii="宋体" w:hAnsi="宋体" w:eastAsia="宋体" w:cs="宋体"/>
                <w:i w:val="0"/>
                <w:iCs w:val="0"/>
                <w:color w:val="000000"/>
                <w:sz w:val="20"/>
                <w:szCs w:val="20"/>
                <w:u w:val="none"/>
              </w:rPr>
            </w:pPr>
          </w:p>
        </w:tc>
        <w:tc>
          <w:tcPr>
            <w:tcW w:w="8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7F8C39">
            <w:pPr>
              <w:jc w:val="center"/>
              <w:rPr>
                <w:rFonts w:hint="eastAsia" w:ascii="宋体" w:hAnsi="宋体" w:eastAsia="宋体" w:cs="宋体"/>
                <w:i w:val="0"/>
                <w:iCs w:val="0"/>
                <w:color w:val="000000"/>
                <w:sz w:val="20"/>
                <w:szCs w:val="20"/>
                <w:u w:val="none"/>
              </w:rPr>
            </w:pPr>
          </w:p>
        </w:tc>
        <w:tc>
          <w:tcPr>
            <w:tcW w:w="58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EDDEDA">
            <w:pPr>
              <w:jc w:val="left"/>
              <w:rPr>
                <w:rFonts w:hint="eastAsia" w:ascii="宋体" w:hAnsi="宋体" w:eastAsia="宋体" w:cs="宋体"/>
                <w:i w:val="0"/>
                <w:iCs w:val="0"/>
                <w:color w:val="000000"/>
                <w:sz w:val="20"/>
                <w:szCs w:val="20"/>
                <w:u w:val="none"/>
              </w:rPr>
            </w:pPr>
          </w:p>
        </w:tc>
      </w:tr>
      <w:tr w14:paraId="2CF8BD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B777F9">
            <w:pPr>
              <w:jc w:val="center"/>
              <w:rPr>
                <w:rFonts w:hint="eastAsia" w:ascii="宋体" w:hAnsi="宋体" w:eastAsia="宋体" w:cs="宋体"/>
                <w:i w:val="0"/>
                <w:iCs w:val="0"/>
                <w:color w:val="000000"/>
                <w:sz w:val="20"/>
                <w:szCs w:val="20"/>
                <w:u w:val="none"/>
              </w:rPr>
            </w:pPr>
          </w:p>
        </w:tc>
        <w:tc>
          <w:tcPr>
            <w:tcW w:w="17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F8A8CD">
            <w:pPr>
              <w:jc w:val="left"/>
              <w:rPr>
                <w:rFonts w:hint="eastAsia" w:ascii="宋体" w:hAnsi="宋体" w:eastAsia="宋体" w:cs="宋体"/>
                <w:i w:val="0"/>
                <w:iCs w:val="0"/>
                <w:color w:val="000000"/>
                <w:sz w:val="20"/>
                <w:szCs w:val="20"/>
                <w:u w:val="none"/>
              </w:rPr>
            </w:pPr>
          </w:p>
        </w:tc>
        <w:tc>
          <w:tcPr>
            <w:tcW w:w="8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76A099">
            <w:pPr>
              <w:jc w:val="center"/>
              <w:rPr>
                <w:rFonts w:hint="eastAsia" w:ascii="宋体" w:hAnsi="宋体" w:eastAsia="宋体" w:cs="宋体"/>
                <w:i w:val="0"/>
                <w:iCs w:val="0"/>
                <w:color w:val="000000"/>
                <w:sz w:val="20"/>
                <w:szCs w:val="20"/>
                <w:u w:val="none"/>
              </w:rPr>
            </w:pPr>
          </w:p>
        </w:tc>
        <w:tc>
          <w:tcPr>
            <w:tcW w:w="58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036F2E">
            <w:pPr>
              <w:jc w:val="left"/>
              <w:rPr>
                <w:rFonts w:hint="eastAsia" w:ascii="宋体" w:hAnsi="宋体" w:eastAsia="宋体" w:cs="宋体"/>
                <w:i w:val="0"/>
                <w:iCs w:val="0"/>
                <w:color w:val="000000"/>
                <w:sz w:val="20"/>
                <w:szCs w:val="20"/>
                <w:u w:val="none"/>
              </w:rPr>
            </w:pPr>
          </w:p>
        </w:tc>
      </w:tr>
      <w:tr w14:paraId="4C9276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2417E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1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45527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服务承诺</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2B5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58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5A71B7">
            <w:pPr>
              <w:keepNext w:val="0"/>
              <w:keepLines w:val="0"/>
              <w:widowControl/>
              <w:suppressLineNumbers w:val="0"/>
              <w:jc w:val="left"/>
              <w:textAlignment w:val="center"/>
              <w:rPr>
                <w:rFonts w:hint="eastAsia" w:ascii="宋体" w:hAnsi="宋体" w:eastAsia="宋体" w:cs="宋体"/>
                <w:i w:val="0"/>
                <w:iCs w:val="0"/>
                <w:color w:val="000000"/>
                <w:sz w:val="20"/>
                <w:szCs w:val="20"/>
                <w:u w:val="none"/>
                <w:lang w:val="en-US" w:eastAsia="zh-CN"/>
              </w:rPr>
            </w:pPr>
            <w:bookmarkStart w:id="18" w:name="_GoBack"/>
            <w:r>
              <w:rPr>
                <w:rFonts w:hint="eastAsia" w:ascii="宋体" w:hAnsi="宋体" w:eastAsia="宋体" w:cs="宋体"/>
                <w:i w:val="0"/>
                <w:iCs w:val="0"/>
                <w:color w:val="000000"/>
                <w:sz w:val="20"/>
                <w:szCs w:val="20"/>
                <w:u w:val="none"/>
                <w:lang w:val="en-US" w:eastAsia="zh-CN"/>
              </w:rPr>
              <w:t>配备专职环保管理人员及合规的废旧金属运输车辆（提供车辆行驶证、道路运输经营许可证，且车辆需符合排放标准）</w:t>
            </w:r>
            <w:bookmarkEnd w:id="18"/>
          </w:p>
        </w:tc>
      </w:tr>
      <w:tr w14:paraId="74937B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0CC5A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1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EA58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司法纠纷案件</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9FE7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58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1658E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每查询到一项近三年内作为被告方的合同纠纷，扣2分；无合同纠纷，得10分。</w:t>
            </w:r>
          </w:p>
        </w:tc>
      </w:tr>
      <w:tr w14:paraId="3ED938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028438E">
            <w:pPr>
              <w:jc w:val="center"/>
              <w:rPr>
                <w:rFonts w:hint="eastAsia" w:ascii="宋体" w:hAnsi="宋体" w:eastAsia="宋体" w:cs="宋体"/>
                <w:i w:val="0"/>
                <w:iCs w:val="0"/>
                <w:color w:val="000000"/>
                <w:sz w:val="20"/>
                <w:szCs w:val="20"/>
                <w:u w:val="none"/>
              </w:rPr>
            </w:pPr>
          </w:p>
        </w:tc>
        <w:tc>
          <w:tcPr>
            <w:tcW w:w="1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B8EF3B">
            <w:pPr>
              <w:jc w:val="center"/>
              <w:rPr>
                <w:rFonts w:hint="eastAsia" w:ascii="宋体" w:hAnsi="宋体" w:eastAsia="宋体" w:cs="宋体"/>
                <w:i w:val="0"/>
                <w:iCs w:val="0"/>
                <w:color w:val="000000"/>
                <w:sz w:val="20"/>
                <w:szCs w:val="20"/>
                <w:u w:val="none"/>
              </w:rPr>
            </w:pP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F3D6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58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AAACDA">
            <w:pPr>
              <w:jc w:val="left"/>
              <w:rPr>
                <w:rFonts w:hint="eastAsia" w:ascii="宋体" w:hAnsi="宋体" w:eastAsia="宋体" w:cs="宋体"/>
                <w:i w:val="0"/>
                <w:iCs w:val="0"/>
                <w:color w:val="000000"/>
                <w:sz w:val="20"/>
                <w:szCs w:val="20"/>
                <w:u w:val="none"/>
              </w:rPr>
            </w:pPr>
          </w:p>
        </w:tc>
      </w:tr>
    </w:tbl>
    <w:p w14:paraId="3AB37F62">
      <w:pPr>
        <w:pStyle w:val="3"/>
        <w:spacing w:line="360" w:lineRule="auto"/>
        <w:ind w:firstLine="570"/>
        <w:rPr>
          <w:rFonts w:hint="eastAsia" w:ascii="宋体" w:hAnsi="宋体" w:cs="宋体"/>
          <w:sz w:val="28"/>
          <w:szCs w:val="28"/>
        </w:rPr>
      </w:pPr>
    </w:p>
    <w:p w14:paraId="4BC4C06A">
      <w:pPr>
        <w:pStyle w:val="3"/>
        <w:spacing w:line="360" w:lineRule="auto"/>
        <w:ind w:firstLine="280" w:firstLineChars="100"/>
        <w:rPr>
          <w:rFonts w:ascii="宋体" w:hAnsi="宋体" w:cs="宋体"/>
          <w:sz w:val="28"/>
          <w:szCs w:val="28"/>
        </w:rPr>
      </w:pPr>
      <w:r>
        <w:rPr>
          <w:rFonts w:hint="eastAsia" w:ascii="宋体" w:hAnsi="宋体" w:cs="宋体"/>
          <w:sz w:val="28"/>
          <w:szCs w:val="28"/>
          <w:lang w:val="en-US" w:eastAsia="zh-CN"/>
        </w:rPr>
        <w:t>2</w:t>
      </w:r>
      <w:r>
        <w:rPr>
          <w:rFonts w:hint="eastAsia" w:ascii="宋体" w:hAnsi="宋体" w:cs="宋体"/>
          <w:sz w:val="28"/>
          <w:szCs w:val="28"/>
        </w:rPr>
        <w:t>) 价格标书</w:t>
      </w:r>
    </w:p>
    <w:p w14:paraId="3C16A9C0">
      <w:pPr>
        <w:snapToGrid w:val="0"/>
        <w:spacing w:line="360" w:lineRule="auto"/>
        <w:ind w:firstLine="280" w:firstLineChars="100"/>
        <w:rPr>
          <w:rFonts w:hint="eastAsia"/>
        </w:rPr>
      </w:pPr>
      <w:r>
        <w:rPr>
          <w:rFonts w:hint="eastAsia" w:ascii="宋体" w:hAnsi="宋体" w:cs="宋体"/>
          <w:sz w:val="28"/>
          <w:szCs w:val="28"/>
        </w:rPr>
        <w:t>（1）在价格标书首页按附件1格式明确福建科达新能源科技有限公司铜铝废旧物资售卖的</w:t>
      </w:r>
      <w:r>
        <w:rPr>
          <w:rFonts w:ascii="宋体" w:hAnsi="宋体" w:cs="宋体"/>
          <w:sz w:val="28"/>
          <w:szCs w:val="28"/>
        </w:rPr>
        <w:t>报价</w:t>
      </w:r>
      <w:r>
        <w:rPr>
          <w:rFonts w:hint="eastAsia" w:ascii="宋体" w:hAnsi="宋体" w:cs="宋体"/>
          <w:sz w:val="28"/>
          <w:szCs w:val="28"/>
        </w:rPr>
        <w:t>，报价</w:t>
      </w:r>
      <w:r>
        <w:rPr>
          <w:rFonts w:ascii="宋体" w:hAnsi="宋体" w:cs="宋体"/>
          <w:sz w:val="28"/>
          <w:szCs w:val="28"/>
        </w:rPr>
        <w:t>需</w:t>
      </w:r>
      <w:r>
        <w:rPr>
          <w:rFonts w:hint="eastAsia" w:ascii="宋体" w:hAnsi="宋体" w:cs="宋体"/>
          <w:sz w:val="28"/>
          <w:szCs w:val="28"/>
        </w:rPr>
        <w:t>签名盖章，否则按无效投标处理。</w:t>
      </w:r>
    </w:p>
    <w:p w14:paraId="4FBE96EA">
      <w:pPr>
        <w:pStyle w:val="3"/>
        <w:spacing w:line="360" w:lineRule="auto"/>
        <w:rPr>
          <w:rFonts w:hint="eastAsia" w:ascii="宋体" w:hAnsi="宋体" w:cs="宋体"/>
          <w:sz w:val="28"/>
          <w:szCs w:val="28"/>
        </w:rPr>
      </w:pPr>
      <w:r>
        <w:rPr>
          <w:rFonts w:ascii="宋体" w:hAnsi="宋体" w:cs="宋体"/>
          <w:sz w:val="28"/>
          <w:szCs w:val="28"/>
        </w:rPr>
        <w:t>6</w:t>
      </w:r>
      <w:r>
        <w:rPr>
          <w:rFonts w:hint="eastAsia" w:ascii="宋体" w:hAnsi="宋体" w:cs="宋体"/>
          <w:sz w:val="28"/>
          <w:szCs w:val="28"/>
        </w:rPr>
        <w:t>.</w:t>
      </w:r>
      <w:r>
        <w:rPr>
          <w:rFonts w:hint="eastAsia" w:ascii="宋体" w:hAnsi="宋体" w:cs="宋体"/>
          <w:b/>
          <w:sz w:val="28"/>
          <w:szCs w:val="28"/>
        </w:rPr>
        <w:t>投标截止时间</w:t>
      </w:r>
      <w:r>
        <w:rPr>
          <w:rFonts w:hint="eastAsia" w:ascii="宋体" w:hAnsi="宋体" w:cs="宋体"/>
          <w:sz w:val="28"/>
          <w:szCs w:val="28"/>
        </w:rPr>
        <w:t>：</w:t>
      </w:r>
    </w:p>
    <w:p w14:paraId="5708B1B3">
      <w:pPr>
        <w:pStyle w:val="3"/>
        <w:spacing w:line="360" w:lineRule="auto"/>
        <w:rPr>
          <w:rFonts w:hint="eastAsia" w:ascii="宋体" w:hAnsi="宋体" w:cs="宋体"/>
          <w:sz w:val="28"/>
          <w:szCs w:val="28"/>
        </w:rPr>
      </w:pPr>
      <w:r>
        <w:rPr>
          <w:rFonts w:ascii="宋体" w:hAnsi="宋体" w:cs="宋体"/>
          <w:sz w:val="28"/>
          <w:szCs w:val="28"/>
        </w:rPr>
        <w:tab/>
      </w:r>
      <w:r>
        <w:rPr>
          <w:rFonts w:ascii="宋体" w:hAnsi="宋体" w:cs="宋体"/>
          <w:sz w:val="28"/>
          <w:szCs w:val="28"/>
        </w:rPr>
        <w:t xml:space="preserve">  </w:t>
      </w:r>
      <w:r>
        <w:rPr>
          <w:rFonts w:hint="eastAsia" w:ascii="宋体" w:hAnsi="宋体" w:cs="宋体"/>
          <w:sz w:val="28"/>
          <w:szCs w:val="28"/>
        </w:rPr>
        <w:t>投标文件密封后封面务必注明：福建科达新能源科技有限公司</w:t>
      </w:r>
      <w:r>
        <w:rPr>
          <w:rFonts w:hint="eastAsia" w:ascii="宋体" w:hAnsi="宋体" w:cs="宋体"/>
          <w:sz w:val="28"/>
          <w:szCs w:val="28"/>
          <w:lang w:val="en-US" w:eastAsia="zh-CN"/>
        </w:rPr>
        <w:t>铜铝废旧物资售卖</w:t>
      </w:r>
      <w:r>
        <w:rPr>
          <w:rFonts w:hint="eastAsia" w:ascii="宋体" w:hAnsi="宋体" w:cs="宋体"/>
          <w:sz w:val="28"/>
          <w:szCs w:val="28"/>
        </w:rPr>
        <w:t>投标文件，加盖公章后，寄送或送达福建省三明市大田县太华镇罗丰工业园福建科达新能源科技有限公司，收件人（</w:t>
      </w:r>
      <w:r>
        <w:rPr>
          <w:rFonts w:hint="eastAsia" w:ascii="宋体" w:hAnsi="宋体" w:cs="宋体"/>
          <w:sz w:val="28"/>
          <w:szCs w:val="28"/>
          <w:highlight w:val="none"/>
          <w:lang w:val="en-US" w:eastAsia="zh-CN"/>
        </w:rPr>
        <w:t>财务</w:t>
      </w:r>
      <w:r>
        <w:rPr>
          <w:rFonts w:hint="eastAsia" w:ascii="宋体" w:hAnsi="宋体" w:cs="宋体"/>
          <w:sz w:val="28"/>
          <w:szCs w:val="28"/>
          <w:highlight w:val="none"/>
        </w:rPr>
        <w:t>部：</w:t>
      </w:r>
      <w:r>
        <w:rPr>
          <w:rFonts w:hint="eastAsia" w:ascii="宋体" w:hAnsi="宋体" w:cs="宋体"/>
          <w:sz w:val="28"/>
          <w:szCs w:val="28"/>
          <w:highlight w:val="none"/>
          <w:lang w:val="en-US" w:eastAsia="zh-CN"/>
        </w:rPr>
        <w:t>李亚平</w:t>
      </w:r>
      <w:r>
        <w:rPr>
          <w:rFonts w:hint="eastAsia" w:ascii="宋体" w:hAnsi="宋体" w:cs="宋体"/>
          <w:sz w:val="28"/>
          <w:szCs w:val="28"/>
          <w:highlight w:val="none"/>
        </w:rPr>
        <w:t>、联系电话：18065585963）。资格预审标</w:t>
      </w:r>
      <w:r>
        <w:rPr>
          <w:rFonts w:hint="eastAsia" w:ascii="宋体" w:hAnsi="宋体" w:cs="宋体"/>
          <w:sz w:val="28"/>
          <w:szCs w:val="28"/>
        </w:rPr>
        <w:t>书送到截止时间为202</w:t>
      </w:r>
      <w:r>
        <w:rPr>
          <w:rFonts w:hint="eastAsia" w:ascii="宋体" w:hAnsi="宋体" w:cs="宋体"/>
          <w:sz w:val="28"/>
          <w:szCs w:val="28"/>
          <w:lang w:val="en-US" w:eastAsia="zh-CN"/>
        </w:rPr>
        <w:t>6</w:t>
      </w:r>
      <w:r>
        <w:rPr>
          <w:rFonts w:hint="eastAsia" w:ascii="宋体" w:hAnsi="宋体" w:cs="宋体"/>
          <w:sz w:val="28"/>
          <w:szCs w:val="28"/>
        </w:rPr>
        <w:t>年0</w:t>
      </w:r>
      <w:r>
        <w:rPr>
          <w:rFonts w:hint="eastAsia" w:ascii="宋体" w:hAnsi="宋体" w:cs="宋体"/>
          <w:sz w:val="28"/>
          <w:szCs w:val="28"/>
          <w:lang w:val="en-US" w:eastAsia="zh-CN"/>
        </w:rPr>
        <w:t>2</w:t>
      </w:r>
      <w:r>
        <w:rPr>
          <w:rFonts w:hint="eastAsia" w:ascii="宋体" w:hAnsi="宋体" w:cs="宋体"/>
          <w:sz w:val="28"/>
          <w:szCs w:val="28"/>
        </w:rPr>
        <w:t>月</w:t>
      </w:r>
      <w:r>
        <w:rPr>
          <w:rFonts w:hint="eastAsia" w:ascii="宋体" w:hAnsi="宋体" w:cs="宋体"/>
          <w:sz w:val="28"/>
          <w:szCs w:val="28"/>
          <w:lang w:val="en-US" w:eastAsia="zh-CN"/>
        </w:rPr>
        <w:t>03</w:t>
      </w:r>
      <w:r>
        <w:rPr>
          <w:rFonts w:hint="eastAsia" w:ascii="宋体" w:hAnsi="宋体" w:cs="宋体"/>
          <w:sz w:val="28"/>
          <w:szCs w:val="28"/>
        </w:rPr>
        <w:t>日下午17:00，标书送达</w:t>
      </w:r>
      <w:r>
        <w:rPr>
          <w:rFonts w:ascii="宋体" w:hAnsi="宋体" w:cs="宋体"/>
          <w:sz w:val="28"/>
          <w:szCs w:val="28"/>
        </w:rPr>
        <w:t>截止时间计划为</w:t>
      </w:r>
      <w:r>
        <w:rPr>
          <w:rFonts w:hint="eastAsia" w:ascii="宋体" w:hAnsi="宋体" w:cs="宋体"/>
          <w:sz w:val="28"/>
          <w:szCs w:val="28"/>
        </w:rPr>
        <w:t>202</w:t>
      </w:r>
      <w:r>
        <w:rPr>
          <w:rFonts w:hint="eastAsia" w:ascii="宋体" w:hAnsi="宋体" w:cs="宋体"/>
          <w:sz w:val="28"/>
          <w:szCs w:val="28"/>
          <w:lang w:val="en-US" w:eastAsia="zh-CN"/>
        </w:rPr>
        <w:t>6</w:t>
      </w:r>
      <w:r>
        <w:rPr>
          <w:rFonts w:hint="eastAsia" w:ascii="宋体" w:hAnsi="宋体" w:cs="宋体"/>
          <w:sz w:val="28"/>
          <w:szCs w:val="28"/>
        </w:rPr>
        <w:t>年0</w:t>
      </w:r>
      <w:r>
        <w:rPr>
          <w:rFonts w:hint="eastAsia" w:ascii="宋体" w:hAnsi="宋体" w:cs="宋体"/>
          <w:sz w:val="28"/>
          <w:szCs w:val="28"/>
          <w:lang w:val="en-US" w:eastAsia="zh-CN"/>
        </w:rPr>
        <w:t>2</w:t>
      </w:r>
      <w:r>
        <w:rPr>
          <w:rFonts w:hint="eastAsia" w:ascii="宋体" w:hAnsi="宋体" w:cs="宋体"/>
          <w:sz w:val="28"/>
          <w:szCs w:val="28"/>
        </w:rPr>
        <w:t>月</w:t>
      </w:r>
      <w:r>
        <w:rPr>
          <w:rFonts w:hint="eastAsia" w:ascii="宋体" w:hAnsi="宋体" w:cs="宋体"/>
          <w:sz w:val="28"/>
          <w:szCs w:val="28"/>
          <w:lang w:val="en-US" w:eastAsia="zh-CN"/>
        </w:rPr>
        <w:t>07</w:t>
      </w:r>
      <w:r>
        <w:rPr>
          <w:rFonts w:hint="eastAsia" w:ascii="宋体" w:hAnsi="宋体" w:cs="宋体"/>
          <w:sz w:val="28"/>
          <w:szCs w:val="28"/>
        </w:rPr>
        <w:t>日下午17:00。</w:t>
      </w:r>
    </w:p>
    <w:p w14:paraId="2BD975AE">
      <w:pPr>
        <w:snapToGrid w:val="0"/>
        <w:spacing w:line="360" w:lineRule="auto"/>
        <w:rPr>
          <w:rFonts w:hint="eastAsia" w:ascii="宋体" w:hAnsi="宋体" w:eastAsia="宋体" w:cs="宋体"/>
          <w:b/>
          <w:sz w:val="28"/>
          <w:szCs w:val="28"/>
          <w:lang w:eastAsia="zh-CN"/>
        </w:rPr>
      </w:pPr>
      <w:r>
        <w:rPr>
          <w:rFonts w:hint="eastAsia" w:ascii="宋体" w:hAnsi="宋体" w:cs="宋体"/>
          <w:b/>
          <w:sz w:val="28"/>
          <w:szCs w:val="28"/>
        </w:rPr>
        <w:t>8.合同支付</w:t>
      </w:r>
      <w:r>
        <w:rPr>
          <w:rFonts w:hint="eastAsia" w:ascii="宋体" w:hAnsi="宋体" w:cs="宋体"/>
          <w:b/>
          <w:sz w:val="28"/>
          <w:szCs w:val="28"/>
          <w:lang w:eastAsia="zh-CN"/>
        </w:rPr>
        <w:t>：</w:t>
      </w:r>
    </w:p>
    <w:p w14:paraId="1FFEA8E0">
      <w:pPr>
        <w:snapToGrid w:val="0"/>
        <w:spacing w:line="360" w:lineRule="auto"/>
        <w:ind w:firstLine="280" w:firstLineChars="100"/>
        <w:rPr>
          <w:rFonts w:ascii="宋体" w:hAnsi="宋体" w:cs="宋体"/>
          <w:sz w:val="28"/>
          <w:szCs w:val="28"/>
        </w:rPr>
      </w:pPr>
      <w:r>
        <w:rPr>
          <w:rFonts w:hint="eastAsia" w:ascii="宋体" w:hAnsi="宋体" w:cs="宋体"/>
          <w:sz w:val="28"/>
          <w:szCs w:val="28"/>
        </w:rPr>
        <w:t>本招标项目的投标应以人民币报价，合同实施时亦以人民币支付。本投标报价应含13％增值税和</w:t>
      </w:r>
      <w:r>
        <w:rPr>
          <w:rFonts w:hint="eastAsia" w:ascii="宋体" w:hAnsi="宋体" w:cs="宋体"/>
          <w:sz w:val="28"/>
          <w:szCs w:val="28"/>
          <w:lang w:val="en-US" w:eastAsia="zh-CN"/>
        </w:rPr>
        <w:t>其他规</w:t>
      </w:r>
      <w:r>
        <w:rPr>
          <w:rFonts w:hint="eastAsia" w:ascii="宋体" w:hAnsi="宋体" w:cs="宋体"/>
          <w:sz w:val="28"/>
          <w:szCs w:val="28"/>
        </w:rPr>
        <w:t>费等，如有异议请另作说明。</w:t>
      </w:r>
    </w:p>
    <w:p w14:paraId="65C83409">
      <w:pPr>
        <w:snapToGrid w:val="0"/>
        <w:spacing w:line="360" w:lineRule="auto"/>
        <w:rPr>
          <w:rFonts w:hint="eastAsia" w:ascii="宋体" w:hAnsi="宋体" w:cs="宋体"/>
          <w:sz w:val="28"/>
          <w:szCs w:val="28"/>
        </w:rPr>
      </w:pPr>
      <w:r>
        <w:rPr>
          <w:rFonts w:hint="eastAsia" w:ascii="宋体" w:hAnsi="宋体" w:cs="宋体"/>
          <w:b/>
          <w:sz w:val="28"/>
          <w:szCs w:val="28"/>
        </w:rPr>
        <w:t>9.付款方式</w:t>
      </w:r>
      <w:r>
        <w:rPr>
          <w:rFonts w:hint="eastAsia" w:ascii="宋体" w:hAnsi="宋体" w:cs="宋体"/>
          <w:sz w:val="28"/>
          <w:szCs w:val="28"/>
        </w:rPr>
        <w:t>：</w:t>
      </w:r>
    </w:p>
    <w:p w14:paraId="60E52558">
      <w:pPr>
        <w:snapToGrid w:val="0"/>
        <w:spacing w:line="360" w:lineRule="auto"/>
        <w:ind w:firstLine="280" w:firstLineChars="100"/>
        <w:rPr>
          <w:rFonts w:hint="default" w:ascii="宋体" w:hAnsi="宋体" w:eastAsia="宋体" w:cs="宋体"/>
          <w:sz w:val="28"/>
          <w:szCs w:val="28"/>
          <w:lang w:val="en-US" w:eastAsia="zh-CN"/>
        </w:rPr>
      </w:pPr>
      <w:r>
        <w:rPr>
          <w:rFonts w:hint="eastAsia" w:ascii="宋体" w:hAnsi="宋体" w:cs="宋体"/>
          <w:sz w:val="28"/>
          <w:szCs w:val="28"/>
        </w:rPr>
        <w:t>付款</w:t>
      </w:r>
      <w:r>
        <w:rPr>
          <w:rFonts w:ascii="宋体" w:hAnsi="宋体" w:cs="宋体"/>
          <w:sz w:val="28"/>
          <w:szCs w:val="28"/>
        </w:rPr>
        <w:t>方式为</w:t>
      </w:r>
      <w:r>
        <w:rPr>
          <w:rFonts w:hint="eastAsia" w:ascii="宋体" w:hAnsi="宋体" w:cs="宋体"/>
          <w:sz w:val="28"/>
          <w:szCs w:val="28"/>
          <w:lang w:val="en-US" w:eastAsia="zh-CN"/>
        </w:rPr>
        <w:t>银行转账</w:t>
      </w:r>
      <w:r>
        <w:rPr>
          <w:rFonts w:hint="eastAsia" w:ascii="宋体" w:hAnsi="宋体" w:cs="宋体"/>
          <w:sz w:val="28"/>
          <w:szCs w:val="28"/>
        </w:rPr>
        <w:t>。</w:t>
      </w:r>
    </w:p>
    <w:p w14:paraId="396130B9">
      <w:pPr>
        <w:snapToGrid w:val="0"/>
        <w:spacing w:line="360" w:lineRule="auto"/>
        <w:rPr>
          <w:rFonts w:hint="eastAsia" w:ascii="宋体" w:hAnsi="宋体" w:cs="宋体"/>
          <w:b/>
          <w:sz w:val="28"/>
          <w:szCs w:val="28"/>
        </w:rPr>
      </w:pPr>
      <w:r>
        <w:rPr>
          <w:rFonts w:hint="eastAsia" w:ascii="宋体" w:hAnsi="宋体" w:cs="宋体"/>
          <w:b/>
          <w:sz w:val="28"/>
          <w:szCs w:val="28"/>
        </w:rPr>
        <w:t>10.保证金：</w:t>
      </w:r>
    </w:p>
    <w:p w14:paraId="53A93467">
      <w:pPr>
        <w:snapToGrid w:val="0"/>
        <w:spacing w:line="360" w:lineRule="auto"/>
        <w:ind w:firstLine="280" w:firstLineChars="100"/>
        <w:rPr>
          <w:rFonts w:ascii="宋体" w:hAnsi="宋体" w:cs="宋体"/>
          <w:sz w:val="28"/>
          <w:szCs w:val="28"/>
        </w:rPr>
      </w:pPr>
      <w:r>
        <w:rPr>
          <w:rFonts w:hint="eastAsia" w:ascii="宋体" w:hAnsi="宋体" w:cs="宋体"/>
          <w:sz w:val="28"/>
          <w:szCs w:val="28"/>
        </w:rPr>
        <w:t>1）本次投标需交纳投标保证金人民币</w:t>
      </w:r>
      <w:r>
        <w:rPr>
          <w:rFonts w:hint="eastAsia" w:ascii="宋体" w:hAnsi="宋体" w:cs="宋体"/>
          <w:sz w:val="28"/>
          <w:szCs w:val="28"/>
          <w:highlight w:val="none"/>
          <w:lang w:val="en-US" w:eastAsia="zh-CN"/>
        </w:rPr>
        <w:t>贰</w:t>
      </w:r>
      <w:r>
        <w:rPr>
          <w:rFonts w:hint="eastAsia" w:ascii="宋体" w:hAnsi="宋体" w:cs="宋体"/>
          <w:sz w:val="28"/>
          <w:szCs w:val="28"/>
          <w:highlight w:val="none"/>
        </w:rPr>
        <w:t>拾万元整（￥</w:t>
      </w:r>
      <w:r>
        <w:rPr>
          <w:rFonts w:hint="eastAsia" w:ascii="宋体" w:hAnsi="宋体" w:cs="宋体"/>
          <w:sz w:val="28"/>
          <w:szCs w:val="28"/>
          <w:highlight w:val="none"/>
          <w:lang w:val="en-US" w:eastAsia="zh-CN"/>
        </w:rPr>
        <w:t>2</w:t>
      </w:r>
      <w:r>
        <w:rPr>
          <w:rFonts w:hint="eastAsia" w:ascii="宋体" w:hAnsi="宋体" w:cs="宋体"/>
          <w:sz w:val="28"/>
          <w:szCs w:val="28"/>
          <w:highlight w:val="none"/>
        </w:rPr>
        <w:t>0</w:t>
      </w:r>
      <w:r>
        <w:rPr>
          <w:rFonts w:ascii="宋体" w:hAnsi="宋体" w:cs="宋体"/>
          <w:sz w:val="28"/>
          <w:szCs w:val="28"/>
          <w:highlight w:val="none"/>
        </w:rPr>
        <w:t>00</w:t>
      </w:r>
      <w:r>
        <w:rPr>
          <w:rFonts w:hint="eastAsia" w:ascii="宋体" w:hAnsi="宋体" w:cs="宋体"/>
          <w:sz w:val="28"/>
          <w:szCs w:val="28"/>
          <w:highlight w:val="none"/>
        </w:rPr>
        <w:t>00.00元），需在</w:t>
      </w:r>
      <w:r>
        <w:rPr>
          <w:rFonts w:ascii="宋体" w:hAnsi="宋体" w:cs="宋体"/>
          <w:sz w:val="28"/>
          <w:szCs w:val="28"/>
          <w:highlight w:val="none"/>
        </w:rPr>
        <w:t>投标截止日前</w:t>
      </w:r>
      <w:r>
        <w:rPr>
          <w:rFonts w:hint="eastAsia" w:ascii="宋体" w:hAnsi="宋体" w:cs="宋体"/>
          <w:sz w:val="28"/>
          <w:szCs w:val="28"/>
          <w:highlight w:val="none"/>
        </w:rPr>
        <w:t>汇入，</w:t>
      </w:r>
      <w:r>
        <w:rPr>
          <w:rFonts w:ascii="宋体" w:hAnsi="宋体" w:cs="宋体"/>
          <w:sz w:val="28"/>
          <w:szCs w:val="28"/>
          <w:highlight w:val="none"/>
        </w:rPr>
        <w:t>汇入</w:t>
      </w:r>
      <w:r>
        <w:rPr>
          <w:rFonts w:hint="eastAsia" w:ascii="宋体" w:hAnsi="宋体" w:cs="宋体"/>
          <w:sz w:val="28"/>
          <w:szCs w:val="28"/>
          <w:highlight w:val="none"/>
        </w:rPr>
        <w:t>单位</w:t>
      </w:r>
      <w:r>
        <w:rPr>
          <w:rFonts w:hint="eastAsia" w:ascii="宋体" w:hAnsi="宋体" w:cs="宋体"/>
          <w:sz w:val="28"/>
          <w:szCs w:val="28"/>
        </w:rPr>
        <w:t>：福建科达新能源科技有限公司，投标人在转帐汇款时务必在备注中写明：福建科达新能源科技有限公司</w:t>
      </w:r>
      <w:r>
        <w:rPr>
          <w:rFonts w:hint="eastAsia" w:ascii="宋体" w:hAnsi="宋体" w:cs="宋体"/>
          <w:sz w:val="28"/>
          <w:szCs w:val="28"/>
          <w:lang w:val="en-US" w:eastAsia="zh-CN"/>
        </w:rPr>
        <w:t>铜铝废旧物资售卖项目</w:t>
      </w:r>
      <w:r>
        <w:rPr>
          <w:rFonts w:hint="eastAsia" w:ascii="宋体" w:hAnsi="宋体" w:cs="宋体"/>
          <w:sz w:val="28"/>
          <w:szCs w:val="28"/>
        </w:rPr>
        <w:t>投标保证金。投标人凭汇款单据至招标人财务部开具收据，逾期不汇入款项取消投标资格。</w:t>
      </w:r>
    </w:p>
    <w:p w14:paraId="7FE26526">
      <w:pPr>
        <w:snapToGrid w:val="0"/>
        <w:spacing w:line="360" w:lineRule="auto"/>
        <w:ind w:firstLine="280"/>
        <w:rPr>
          <w:rFonts w:hint="eastAsia" w:ascii="宋体" w:hAnsi="宋体" w:cs="宋体"/>
          <w:sz w:val="28"/>
          <w:szCs w:val="28"/>
        </w:rPr>
      </w:pPr>
      <w:r>
        <w:rPr>
          <w:rFonts w:hint="eastAsia" w:ascii="宋体" w:hAnsi="宋体" w:cs="宋体"/>
          <w:sz w:val="28"/>
          <w:szCs w:val="28"/>
        </w:rPr>
        <w:t>保证金的退还：招标人与中标人签订合同后7日内，向未中标的投标人无息退还投标保证金。</w:t>
      </w:r>
    </w:p>
    <w:p w14:paraId="502674F6">
      <w:pPr>
        <w:snapToGrid w:val="0"/>
        <w:spacing w:line="360" w:lineRule="auto"/>
        <w:ind w:firstLine="280" w:firstLineChars="100"/>
        <w:rPr>
          <w:rFonts w:hint="eastAsia" w:ascii="宋体" w:hAnsi="宋体" w:cs="宋体"/>
          <w:sz w:val="28"/>
          <w:szCs w:val="28"/>
        </w:rPr>
      </w:pPr>
      <w:r>
        <w:rPr>
          <w:rFonts w:hint="eastAsia" w:ascii="宋体" w:hAnsi="宋体" w:cs="宋体"/>
          <w:sz w:val="28"/>
          <w:szCs w:val="28"/>
        </w:rPr>
        <w:t>缴款方式/账户</w:t>
      </w:r>
    </w:p>
    <w:p w14:paraId="726828BA">
      <w:pPr>
        <w:snapToGrid w:val="0"/>
        <w:spacing w:line="360" w:lineRule="auto"/>
        <w:ind w:firstLine="280" w:firstLineChars="100"/>
        <w:rPr>
          <w:rFonts w:hint="eastAsia" w:ascii="宋体" w:hAnsi="宋体" w:cs="宋体"/>
          <w:sz w:val="28"/>
          <w:szCs w:val="28"/>
        </w:rPr>
      </w:pPr>
      <w:r>
        <w:rPr>
          <w:rFonts w:hint="eastAsia" w:ascii="宋体" w:hAnsi="宋体" w:cs="宋体"/>
          <w:sz w:val="28"/>
          <w:szCs w:val="28"/>
        </w:rPr>
        <w:t>开户银行：兴业银行三明大田支行</w:t>
      </w:r>
    </w:p>
    <w:p w14:paraId="77CFE9BC">
      <w:pPr>
        <w:snapToGrid w:val="0"/>
        <w:spacing w:line="360" w:lineRule="auto"/>
        <w:ind w:firstLine="280" w:firstLineChars="100"/>
        <w:rPr>
          <w:rFonts w:hint="eastAsia" w:ascii="宋体" w:hAnsi="宋体" w:cs="宋体"/>
          <w:sz w:val="28"/>
          <w:szCs w:val="28"/>
        </w:rPr>
      </w:pPr>
      <w:r>
        <w:rPr>
          <w:rFonts w:hint="eastAsia" w:ascii="宋体" w:hAnsi="宋体" w:cs="宋体"/>
          <w:sz w:val="28"/>
          <w:szCs w:val="28"/>
        </w:rPr>
        <w:t>帐户名称：福建科达新能源科技有限公司</w:t>
      </w:r>
    </w:p>
    <w:p w14:paraId="281EE2D4">
      <w:pPr>
        <w:snapToGrid w:val="0"/>
        <w:spacing w:line="360" w:lineRule="auto"/>
        <w:ind w:firstLine="280" w:firstLineChars="100"/>
        <w:rPr>
          <w:rFonts w:hint="eastAsia" w:ascii="宋体" w:hAnsi="宋体" w:cs="宋体"/>
          <w:sz w:val="28"/>
          <w:szCs w:val="28"/>
        </w:rPr>
      </w:pPr>
      <w:r>
        <w:rPr>
          <w:rFonts w:hint="eastAsia" w:ascii="宋体" w:hAnsi="宋体" w:cs="宋体"/>
          <w:sz w:val="28"/>
          <w:szCs w:val="28"/>
        </w:rPr>
        <w:t>账号：181050100100112690</w:t>
      </w:r>
    </w:p>
    <w:p w14:paraId="011B2EFB">
      <w:pPr>
        <w:snapToGrid w:val="0"/>
        <w:spacing w:line="360" w:lineRule="auto"/>
        <w:ind w:firstLine="280" w:firstLineChars="100"/>
        <w:rPr>
          <w:rFonts w:hint="eastAsia" w:ascii="宋体" w:hAnsi="宋体" w:cs="宋体"/>
          <w:sz w:val="28"/>
          <w:szCs w:val="28"/>
        </w:rPr>
      </w:pPr>
      <w:r>
        <w:rPr>
          <w:rFonts w:hint="eastAsia" w:ascii="宋体" w:hAnsi="宋体" w:cs="宋体"/>
          <w:sz w:val="28"/>
          <w:szCs w:val="28"/>
        </w:rPr>
        <w:t>2）履约担保:</w:t>
      </w:r>
    </w:p>
    <w:p w14:paraId="1CAD9DBD">
      <w:pPr>
        <w:snapToGrid w:val="0"/>
        <w:spacing w:line="360" w:lineRule="auto"/>
        <w:ind w:firstLine="280" w:firstLineChars="100"/>
        <w:rPr>
          <w:rFonts w:hint="eastAsia" w:ascii="宋体" w:hAnsi="宋体" w:cs="宋体"/>
          <w:sz w:val="28"/>
          <w:szCs w:val="28"/>
        </w:rPr>
      </w:pPr>
      <w:r>
        <w:rPr>
          <w:rFonts w:hint="eastAsia" w:ascii="宋体" w:hAnsi="宋体" w:cs="宋体"/>
          <w:sz w:val="28"/>
          <w:szCs w:val="28"/>
        </w:rPr>
        <w:t>⑴履约担保金额：为中标合同价的10％；</w:t>
      </w:r>
    </w:p>
    <w:p w14:paraId="343BEDDA">
      <w:pPr>
        <w:snapToGrid w:val="0"/>
        <w:spacing w:line="360" w:lineRule="auto"/>
        <w:ind w:firstLine="280" w:firstLineChars="100"/>
        <w:rPr>
          <w:rFonts w:hint="eastAsia" w:ascii="宋体" w:hAnsi="宋体" w:cs="宋体"/>
          <w:sz w:val="28"/>
          <w:szCs w:val="28"/>
        </w:rPr>
      </w:pPr>
      <w:r>
        <w:rPr>
          <w:rFonts w:hint="eastAsia" w:ascii="宋体" w:hAnsi="宋体" w:cs="宋体"/>
          <w:sz w:val="28"/>
          <w:szCs w:val="28"/>
        </w:rPr>
        <w:t>⑵履约保证金的形式：现金或银行保函、保险保函。</w:t>
      </w:r>
    </w:p>
    <w:p w14:paraId="2FE583F8">
      <w:pPr>
        <w:snapToGrid w:val="0"/>
        <w:spacing w:line="360" w:lineRule="auto"/>
        <w:ind w:firstLine="280" w:firstLineChars="100"/>
        <w:rPr>
          <w:rFonts w:hint="eastAsia" w:ascii="宋体" w:hAnsi="宋体" w:cs="宋体"/>
          <w:sz w:val="28"/>
          <w:szCs w:val="28"/>
        </w:rPr>
      </w:pPr>
      <w:r>
        <w:rPr>
          <w:rFonts w:hint="eastAsia" w:ascii="宋体" w:hAnsi="宋体" w:cs="宋体"/>
          <w:sz w:val="28"/>
          <w:szCs w:val="28"/>
        </w:rPr>
        <w:t>注：</w:t>
      </w:r>
    </w:p>
    <w:p w14:paraId="12D3E6AF">
      <w:pPr>
        <w:snapToGrid w:val="0"/>
        <w:spacing w:line="360" w:lineRule="auto"/>
        <w:ind w:firstLine="280" w:firstLineChars="100"/>
        <w:rPr>
          <w:rFonts w:hint="eastAsia" w:ascii="宋体" w:hAnsi="宋体" w:cs="宋体"/>
          <w:sz w:val="28"/>
          <w:szCs w:val="28"/>
        </w:rPr>
      </w:pPr>
      <w:r>
        <w:rPr>
          <w:rFonts w:hint="eastAsia" w:ascii="宋体" w:hAnsi="宋体" w:cs="宋体"/>
          <w:sz w:val="28"/>
          <w:szCs w:val="28"/>
        </w:rPr>
        <w:t>①采用银行保函方式缴纳投标保证金的投标人须通过投标人开户行基本账户开具的银行保函，银行保函必须加盖银行法定单位公章和法人代表签字，方可有效，其它方式不予认可。</w:t>
      </w:r>
    </w:p>
    <w:p w14:paraId="06D42D33">
      <w:pPr>
        <w:snapToGrid w:val="0"/>
        <w:spacing w:line="360" w:lineRule="auto"/>
        <w:ind w:firstLine="280" w:firstLineChars="100"/>
        <w:rPr>
          <w:rFonts w:hint="eastAsia" w:ascii="宋体" w:hAnsi="宋体" w:cs="宋体"/>
          <w:sz w:val="28"/>
          <w:szCs w:val="28"/>
        </w:rPr>
      </w:pPr>
      <w:r>
        <w:rPr>
          <w:rFonts w:hint="eastAsia" w:ascii="宋体" w:hAnsi="宋体" w:cs="宋体"/>
          <w:sz w:val="28"/>
          <w:szCs w:val="28"/>
        </w:rPr>
        <w:t>②提交时间：在签订合同前，中标人应提交履约担保。若未在规定时间内提交履约担保，招标人有权取消其中标资格，并没收其投标保证金。</w:t>
      </w:r>
    </w:p>
    <w:p w14:paraId="3ECB5852">
      <w:pPr>
        <w:snapToGrid w:val="0"/>
        <w:spacing w:line="360" w:lineRule="auto"/>
        <w:ind w:firstLine="280" w:firstLineChars="100"/>
        <w:rPr>
          <w:rFonts w:hint="eastAsia" w:ascii="宋体" w:hAnsi="宋体" w:cs="宋体"/>
          <w:sz w:val="28"/>
          <w:szCs w:val="28"/>
        </w:rPr>
      </w:pPr>
      <w:r>
        <w:rPr>
          <w:rFonts w:hint="eastAsia" w:ascii="宋体" w:hAnsi="宋体" w:cs="宋体"/>
          <w:sz w:val="28"/>
          <w:szCs w:val="28"/>
        </w:rPr>
        <w:t>③银行保函有效期应当超过合同规定的完工验收合格之日，若银行保函时效没有达到上述规定，必须补足时效。</w:t>
      </w:r>
    </w:p>
    <w:p w14:paraId="1E0A3950">
      <w:pPr>
        <w:snapToGrid w:val="0"/>
        <w:spacing w:line="360" w:lineRule="auto"/>
        <w:ind w:firstLine="280" w:firstLineChars="100"/>
        <w:rPr>
          <w:rFonts w:hint="eastAsia" w:ascii="宋体" w:hAnsi="宋体" w:cs="宋体"/>
          <w:sz w:val="28"/>
          <w:szCs w:val="28"/>
        </w:rPr>
      </w:pPr>
      <w:r>
        <w:rPr>
          <w:rFonts w:hint="eastAsia" w:ascii="宋体" w:hAnsi="宋体" w:cs="宋体"/>
          <w:sz w:val="28"/>
          <w:szCs w:val="28"/>
        </w:rPr>
        <w:t>④中标人采用现金的，履约保证金在合同履约</w:t>
      </w:r>
      <w:r>
        <w:rPr>
          <w:rFonts w:ascii="宋体" w:hAnsi="宋体" w:cs="宋体"/>
          <w:sz w:val="28"/>
          <w:szCs w:val="28"/>
        </w:rPr>
        <w:t>结束</w:t>
      </w:r>
      <w:r>
        <w:rPr>
          <w:rFonts w:hint="eastAsia" w:ascii="宋体" w:hAnsi="宋体" w:cs="宋体"/>
          <w:sz w:val="28"/>
          <w:szCs w:val="28"/>
        </w:rPr>
        <w:t>后</w:t>
      </w:r>
      <w:r>
        <w:rPr>
          <w:rFonts w:ascii="宋体" w:hAnsi="宋体" w:cs="宋体"/>
          <w:sz w:val="28"/>
          <w:szCs w:val="28"/>
        </w:rPr>
        <w:t>30</w:t>
      </w:r>
      <w:r>
        <w:rPr>
          <w:rFonts w:hint="eastAsia" w:ascii="宋体" w:hAnsi="宋体" w:cs="宋体"/>
          <w:sz w:val="28"/>
          <w:szCs w:val="28"/>
        </w:rPr>
        <w:t>日内一次性无息返还。</w:t>
      </w:r>
    </w:p>
    <w:p w14:paraId="7B7DE7AE">
      <w:pPr>
        <w:snapToGrid w:val="0"/>
        <w:spacing w:line="360" w:lineRule="auto"/>
        <w:ind w:firstLine="280" w:firstLineChars="100"/>
        <w:rPr>
          <w:rFonts w:hint="eastAsia" w:ascii="宋体" w:hAnsi="宋体" w:cs="宋体"/>
          <w:sz w:val="28"/>
          <w:szCs w:val="28"/>
        </w:rPr>
      </w:pPr>
      <w:r>
        <w:rPr>
          <w:rFonts w:hint="eastAsia" w:ascii="宋体" w:hAnsi="宋体" w:cs="宋体"/>
          <w:sz w:val="28"/>
          <w:szCs w:val="28"/>
        </w:rPr>
        <w:t>3）发生下列情况之一者，投标保证金将予以没收：</w:t>
      </w:r>
    </w:p>
    <w:p w14:paraId="099355A7">
      <w:pPr>
        <w:snapToGrid w:val="0"/>
        <w:spacing w:line="360" w:lineRule="auto"/>
        <w:ind w:firstLine="280" w:firstLineChars="100"/>
        <w:rPr>
          <w:rFonts w:hint="eastAsia" w:ascii="宋体" w:hAnsi="宋体" w:cs="宋体"/>
          <w:sz w:val="28"/>
          <w:szCs w:val="28"/>
        </w:rPr>
      </w:pPr>
      <w:r>
        <w:rPr>
          <w:rFonts w:hint="eastAsia" w:ascii="宋体" w:hAnsi="宋体" w:cs="宋体"/>
          <w:sz w:val="28"/>
          <w:szCs w:val="28"/>
        </w:rPr>
        <w:t>⑴投标人在投标截止日期后投标或有效期内撤回其投标。</w:t>
      </w:r>
    </w:p>
    <w:p w14:paraId="788BFDE7">
      <w:pPr>
        <w:snapToGrid w:val="0"/>
        <w:spacing w:line="360" w:lineRule="auto"/>
        <w:ind w:firstLine="280" w:firstLineChars="100"/>
        <w:rPr>
          <w:rFonts w:hint="eastAsia" w:ascii="宋体" w:hAnsi="宋体" w:cs="宋体"/>
          <w:sz w:val="28"/>
          <w:szCs w:val="28"/>
        </w:rPr>
      </w:pPr>
      <w:r>
        <w:rPr>
          <w:rFonts w:hint="eastAsia" w:ascii="宋体" w:hAnsi="宋体" w:cs="宋体"/>
          <w:sz w:val="28"/>
          <w:szCs w:val="28"/>
        </w:rPr>
        <w:t>⑵投标人在投标截止日期后对投标文件作实质性修改。</w:t>
      </w:r>
    </w:p>
    <w:p w14:paraId="6E41459F">
      <w:pPr>
        <w:snapToGrid w:val="0"/>
        <w:spacing w:line="360" w:lineRule="auto"/>
        <w:ind w:firstLine="280" w:firstLineChars="100"/>
        <w:rPr>
          <w:rFonts w:hint="eastAsia" w:ascii="宋体" w:hAnsi="宋体" w:cs="宋体"/>
          <w:sz w:val="28"/>
          <w:szCs w:val="28"/>
        </w:rPr>
      </w:pPr>
      <w:r>
        <w:rPr>
          <w:rFonts w:hint="eastAsia" w:ascii="宋体" w:hAnsi="宋体" w:cs="宋体"/>
          <w:sz w:val="28"/>
          <w:szCs w:val="28"/>
        </w:rPr>
        <w:t>⑶投标人被通知中标后，拒绝按中标状态签订合同（即不按中标规定的技术方案、供货范围和价格等签订合同）。</w:t>
      </w:r>
    </w:p>
    <w:p w14:paraId="3E1C40E0">
      <w:pPr>
        <w:snapToGrid w:val="0"/>
        <w:spacing w:line="360" w:lineRule="auto"/>
        <w:ind w:firstLine="280" w:firstLineChars="100"/>
        <w:rPr>
          <w:rFonts w:hint="eastAsia" w:ascii="宋体" w:hAnsi="宋体" w:cs="宋体"/>
          <w:sz w:val="28"/>
          <w:szCs w:val="28"/>
        </w:rPr>
      </w:pPr>
      <w:r>
        <w:rPr>
          <w:rFonts w:hint="eastAsia" w:ascii="宋体" w:hAnsi="宋体" w:cs="宋体"/>
          <w:sz w:val="28"/>
          <w:szCs w:val="28"/>
        </w:rPr>
        <w:t>⑷投标人不接受招标文件的规定。</w:t>
      </w:r>
    </w:p>
    <w:p w14:paraId="2C326E79">
      <w:pPr>
        <w:snapToGrid w:val="0"/>
        <w:spacing w:line="360" w:lineRule="auto"/>
        <w:rPr>
          <w:rFonts w:hint="eastAsia" w:ascii="宋体" w:hAnsi="宋体" w:cs="宋体"/>
          <w:b/>
          <w:sz w:val="28"/>
          <w:szCs w:val="28"/>
        </w:rPr>
      </w:pPr>
      <w:r>
        <w:rPr>
          <w:rFonts w:hint="eastAsia" w:ascii="宋体" w:hAnsi="宋体" w:cs="宋体"/>
          <w:b/>
          <w:sz w:val="28"/>
          <w:szCs w:val="28"/>
        </w:rPr>
        <w:t>11.投标人资格要求：</w:t>
      </w:r>
    </w:p>
    <w:p w14:paraId="541F8EEC">
      <w:pPr>
        <w:snapToGrid w:val="0"/>
        <w:spacing w:line="360" w:lineRule="auto"/>
        <w:ind w:firstLine="280" w:firstLineChars="100"/>
        <w:rPr>
          <w:rFonts w:hint="eastAsia" w:ascii="宋体" w:hAnsi="宋体" w:cs="宋体"/>
          <w:sz w:val="28"/>
          <w:szCs w:val="28"/>
        </w:rPr>
      </w:pPr>
      <w:r>
        <w:rPr>
          <w:rFonts w:hint="eastAsia" w:ascii="宋体" w:hAnsi="宋体" w:cs="宋体"/>
          <w:sz w:val="28"/>
          <w:szCs w:val="28"/>
        </w:rPr>
        <w:t>1）资质要求：已通过</w:t>
      </w:r>
      <w:r>
        <w:rPr>
          <w:rFonts w:ascii="宋体" w:hAnsi="宋体" w:cs="宋体"/>
          <w:sz w:val="28"/>
          <w:szCs w:val="28"/>
        </w:rPr>
        <w:t>招标方的资格</w:t>
      </w:r>
      <w:r>
        <w:rPr>
          <w:rFonts w:hint="eastAsia" w:ascii="宋体" w:hAnsi="宋体" w:cs="宋体"/>
          <w:sz w:val="28"/>
          <w:szCs w:val="28"/>
        </w:rPr>
        <w:t>预审名单可</w:t>
      </w:r>
      <w:r>
        <w:rPr>
          <w:rFonts w:ascii="宋体" w:hAnsi="宋体" w:cs="宋体"/>
          <w:sz w:val="28"/>
          <w:szCs w:val="28"/>
        </w:rPr>
        <w:t>参与投标。</w:t>
      </w:r>
      <w:r>
        <w:rPr>
          <w:rFonts w:hint="eastAsia" w:ascii="宋体" w:hAnsi="宋体" w:cs="宋体"/>
          <w:sz w:val="28"/>
          <w:szCs w:val="28"/>
        </w:rPr>
        <w:t> </w:t>
      </w:r>
    </w:p>
    <w:p w14:paraId="4E325CBB">
      <w:pPr>
        <w:snapToGrid w:val="0"/>
        <w:spacing w:line="360" w:lineRule="auto"/>
        <w:ind w:firstLine="280" w:firstLineChars="100"/>
        <w:rPr>
          <w:rFonts w:hint="eastAsia" w:ascii="宋体" w:hAnsi="宋体" w:cs="宋体"/>
          <w:sz w:val="28"/>
          <w:szCs w:val="28"/>
        </w:rPr>
      </w:pPr>
      <w:r>
        <w:rPr>
          <w:rFonts w:hint="eastAsia" w:ascii="宋体" w:hAnsi="宋体" w:cs="宋体"/>
          <w:sz w:val="28"/>
          <w:szCs w:val="28"/>
        </w:rPr>
        <w:t>2）企业经营财务状况良好。 </w:t>
      </w:r>
    </w:p>
    <w:p w14:paraId="3463997B">
      <w:pPr>
        <w:snapToGrid w:val="0"/>
        <w:spacing w:line="360" w:lineRule="auto"/>
        <w:ind w:firstLine="280" w:firstLineChars="100"/>
        <w:rPr>
          <w:rFonts w:hint="eastAsia" w:ascii="宋体" w:hAnsi="宋体" w:cs="宋体"/>
          <w:sz w:val="28"/>
          <w:szCs w:val="28"/>
        </w:rPr>
      </w:pPr>
      <w:r>
        <w:rPr>
          <w:rFonts w:hint="eastAsia" w:ascii="宋体" w:hAnsi="宋体" w:cs="宋体"/>
          <w:sz w:val="28"/>
          <w:szCs w:val="28"/>
        </w:rPr>
        <w:t>3）投标人应在响应本招标文件的前提下，自愿参加投标。 </w:t>
      </w:r>
    </w:p>
    <w:p w14:paraId="2CF7F16F">
      <w:pPr>
        <w:snapToGrid w:val="0"/>
        <w:spacing w:line="360" w:lineRule="auto"/>
        <w:ind w:firstLine="280" w:firstLineChars="100"/>
        <w:rPr>
          <w:rFonts w:hint="eastAsia" w:ascii="宋体" w:hAnsi="宋体" w:cs="宋体"/>
          <w:sz w:val="28"/>
          <w:szCs w:val="28"/>
        </w:rPr>
      </w:pPr>
      <w:r>
        <w:rPr>
          <w:rFonts w:hint="eastAsia" w:ascii="宋体" w:hAnsi="宋体" w:cs="宋体"/>
          <w:sz w:val="28"/>
          <w:szCs w:val="28"/>
        </w:rPr>
        <w:t>4）一个投标人只能提交一个投标文件。但如果投标人之间存在下列互为关联关系的情形之一的，不得同时参加本项目投标； </w:t>
      </w:r>
    </w:p>
    <w:p w14:paraId="1391AF22">
      <w:pPr>
        <w:snapToGrid w:val="0"/>
        <w:spacing w:line="360" w:lineRule="auto"/>
        <w:ind w:firstLine="280" w:firstLineChars="100"/>
        <w:rPr>
          <w:rFonts w:hint="eastAsia" w:ascii="宋体" w:hAnsi="宋体" w:cs="宋体"/>
          <w:sz w:val="28"/>
          <w:szCs w:val="28"/>
        </w:rPr>
      </w:pPr>
      <w:r>
        <w:rPr>
          <w:rFonts w:hint="eastAsia" w:ascii="宋体" w:hAnsi="宋体" w:cs="宋体"/>
          <w:sz w:val="28"/>
          <w:szCs w:val="28"/>
        </w:rPr>
        <w:t>（1）法定代表人或负责人为同一人的两个及两个以上企业； </w:t>
      </w:r>
    </w:p>
    <w:p w14:paraId="7004C6CB">
      <w:pPr>
        <w:snapToGrid w:val="0"/>
        <w:spacing w:line="360" w:lineRule="auto"/>
        <w:ind w:firstLine="280" w:firstLineChars="100"/>
        <w:rPr>
          <w:rFonts w:hint="eastAsia" w:ascii="宋体" w:hAnsi="宋体" w:cs="宋体"/>
          <w:sz w:val="28"/>
          <w:szCs w:val="28"/>
        </w:rPr>
      </w:pPr>
      <w:r>
        <w:rPr>
          <w:rFonts w:hint="eastAsia" w:ascii="宋体" w:hAnsi="宋体" w:cs="宋体"/>
          <w:sz w:val="28"/>
          <w:szCs w:val="28"/>
        </w:rPr>
        <w:t>（2）母公司、直接或间接持股50％及以上的被投资企业； </w:t>
      </w:r>
    </w:p>
    <w:p w14:paraId="297B81CE">
      <w:pPr>
        <w:snapToGrid w:val="0"/>
        <w:spacing w:line="360" w:lineRule="auto"/>
        <w:ind w:firstLine="280" w:firstLineChars="100"/>
        <w:rPr>
          <w:rFonts w:hint="eastAsia" w:ascii="宋体" w:hAnsi="宋体" w:cs="宋体"/>
          <w:sz w:val="28"/>
          <w:szCs w:val="28"/>
        </w:rPr>
      </w:pPr>
      <w:r>
        <w:rPr>
          <w:rFonts w:hint="eastAsia" w:ascii="宋体" w:hAnsi="宋体" w:cs="宋体"/>
          <w:sz w:val="28"/>
          <w:szCs w:val="28"/>
        </w:rPr>
        <w:t>（3）均为同一主体直接或间接持股50％及以上的被投资企业。 </w:t>
      </w:r>
    </w:p>
    <w:p w14:paraId="16766D8A">
      <w:pPr>
        <w:snapToGrid w:val="0"/>
        <w:spacing w:line="360" w:lineRule="auto"/>
        <w:rPr>
          <w:rFonts w:hint="eastAsia" w:ascii="宋体" w:hAnsi="宋体" w:cs="宋体"/>
          <w:sz w:val="28"/>
          <w:szCs w:val="28"/>
        </w:rPr>
      </w:pPr>
      <w:r>
        <w:rPr>
          <w:rFonts w:hint="eastAsia" w:ascii="宋体" w:hAnsi="宋体" w:cs="宋体"/>
          <w:sz w:val="28"/>
          <w:szCs w:val="28"/>
        </w:rPr>
        <w:t>如上述关联企业同时参与投标，视为恶意串标，将取消投标资格，视情节的严重，违约金为500-5000元不等，并保留追究法律责任。 </w:t>
      </w:r>
    </w:p>
    <w:p w14:paraId="69C34BDA">
      <w:pPr>
        <w:snapToGrid w:val="0"/>
        <w:spacing w:line="360" w:lineRule="auto"/>
        <w:ind w:firstLine="280" w:firstLineChars="100"/>
        <w:rPr>
          <w:rFonts w:hint="eastAsia" w:ascii="宋体" w:hAnsi="宋体" w:cs="宋体"/>
          <w:sz w:val="28"/>
          <w:szCs w:val="28"/>
        </w:rPr>
      </w:pPr>
      <w:r>
        <w:rPr>
          <w:rFonts w:hint="eastAsia" w:ascii="宋体" w:hAnsi="宋体" w:cs="宋体"/>
          <w:sz w:val="28"/>
          <w:szCs w:val="28"/>
        </w:rPr>
        <w:t>5）禁止投标人相互串通投标。 </w:t>
      </w:r>
    </w:p>
    <w:p w14:paraId="4FA1D18C">
      <w:pPr>
        <w:snapToGrid w:val="0"/>
        <w:spacing w:line="360" w:lineRule="auto"/>
        <w:ind w:firstLine="280" w:firstLineChars="100"/>
        <w:rPr>
          <w:rFonts w:hint="eastAsia" w:ascii="宋体" w:hAnsi="宋体" w:cs="宋体"/>
          <w:sz w:val="28"/>
          <w:szCs w:val="28"/>
        </w:rPr>
      </w:pPr>
      <w:r>
        <w:rPr>
          <w:rFonts w:hint="eastAsia" w:ascii="宋体" w:hAnsi="宋体" w:cs="宋体"/>
          <w:sz w:val="28"/>
          <w:szCs w:val="28"/>
        </w:rPr>
        <w:t>有下列情形之一的，属于投标人相互串通投标： </w:t>
      </w:r>
    </w:p>
    <w:p w14:paraId="0A3EF2C7">
      <w:pPr>
        <w:snapToGrid w:val="0"/>
        <w:spacing w:line="360" w:lineRule="auto"/>
        <w:ind w:firstLine="280" w:firstLineChars="100"/>
        <w:rPr>
          <w:rFonts w:hint="eastAsia" w:ascii="宋体" w:hAnsi="宋体" w:cs="宋体"/>
          <w:sz w:val="28"/>
          <w:szCs w:val="28"/>
        </w:rPr>
      </w:pPr>
      <w:r>
        <w:rPr>
          <w:rFonts w:hint="eastAsia" w:ascii="宋体" w:hAnsi="宋体" w:cs="宋体"/>
          <w:sz w:val="28"/>
          <w:szCs w:val="28"/>
        </w:rPr>
        <w:t>⑴投标人之间协商投标报价等投标文件的实质性内容； </w:t>
      </w:r>
    </w:p>
    <w:p w14:paraId="2A795B10">
      <w:pPr>
        <w:snapToGrid w:val="0"/>
        <w:spacing w:line="360" w:lineRule="auto"/>
        <w:ind w:firstLine="280" w:firstLineChars="100"/>
        <w:rPr>
          <w:rFonts w:hint="eastAsia" w:ascii="宋体" w:hAnsi="宋体" w:cs="宋体"/>
          <w:sz w:val="28"/>
          <w:szCs w:val="28"/>
        </w:rPr>
      </w:pPr>
      <w:r>
        <w:rPr>
          <w:rFonts w:hint="eastAsia" w:ascii="宋体" w:hAnsi="宋体" w:cs="宋体"/>
          <w:sz w:val="28"/>
          <w:szCs w:val="28"/>
        </w:rPr>
        <w:t>⑵投标人之间约定中标人； </w:t>
      </w:r>
    </w:p>
    <w:p w14:paraId="652C1D68">
      <w:pPr>
        <w:snapToGrid w:val="0"/>
        <w:spacing w:line="360" w:lineRule="auto"/>
        <w:ind w:firstLine="280" w:firstLineChars="100"/>
        <w:rPr>
          <w:rFonts w:hint="eastAsia" w:ascii="宋体" w:hAnsi="宋体" w:cs="宋体"/>
          <w:sz w:val="28"/>
          <w:szCs w:val="28"/>
        </w:rPr>
      </w:pPr>
      <w:r>
        <w:rPr>
          <w:rFonts w:hint="eastAsia" w:ascii="宋体" w:hAnsi="宋体" w:cs="宋体"/>
          <w:sz w:val="28"/>
          <w:szCs w:val="28"/>
        </w:rPr>
        <w:t>⑶投标人之间约定部分投标人放弃投标或者中标； </w:t>
      </w:r>
    </w:p>
    <w:p w14:paraId="22A94728">
      <w:pPr>
        <w:snapToGrid w:val="0"/>
        <w:spacing w:line="360" w:lineRule="auto"/>
        <w:ind w:firstLine="280" w:firstLineChars="100"/>
        <w:rPr>
          <w:rFonts w:hint="eastAsia" w:ascii="宋体" w:hAnsi="宋体" w:cs="宋体"/>
          <w:sz w:val="28"/>
          <w:szCs w:val="28"/>
        </w:rPr>
      </w:pPr>
      <w:r>
        <w:rPr>
          <w:rFonts w:hint="eastAsia" w:ascii="宋体" w:hAnsi="宋体" w:cs="宋体"/>
          <w:sz w:val="28"/>
          <w:szCs w:val="28"/>
        </w:rPr>
        <w:t>⑷属于同一集团、协会、商会等组织成员的投标人按照该组织要求协同投标； </w:t>
      </w:r>
    </w:p>
    <w:p w14:paraId="23A00A63">
      <w:pPr>
        <w:snapToGrid w:val="0"/>
        <w:spacing w:line="360" w:lineRule="auto"/>
        <w:ind w:firstLine="280" w:firstLineChars="100"/>
        <w:rPr>
          <w:rFonts w:hint="eastAsia" w:ascii="宋体" w:hAnsi="宋体" w:cs="宋体"/>
          <w:sz w:val="28"/>
          <w:szCs w:val="28"/>
        </w:rPr>
      </w:pPr>
      <w:r>
        <w:rPr>
          <w:rFonts w:hint="eastAsia" w:ascii="宋体" w:hAnsi="宋体" w:cs="宋体"/>
          <w:sz w:val="28"/>
          <w:szCs w:val="28"/>
        </w:rPr>
        <w:t>⑸投标人之间为谋取中标或者排斥特定投标人而采取的其他联合行动。 </w:t>
      </w:r>
    </w:p>
    <w:p w14:paraId="76ED0902">
      <w:pPr>
        <w:snapToGrid w:val="0"/>
        <w:spacing w:line="360" w:lineRule="auto"/>
        <w:ind w:firstLine="280" w:firstLineChars="100"/>
        <w:rPr>
          <w:rFonts w:hint="eastAsia" w:ascii="宋体" w:hAnsi="宋体" w:cs="宋体"/>
          <w:sz w:val="28"/>
          <w:szCs w:val="28"/>
        </w:rPr>
      </w:pPr>
      <w:r>
        <w:rPr>
          <w:rFonts w:hint="eastAsia" w:ascii="宋体" w:hAnsi="宋体" w:cs="宋体"/>
          <w:sz w:val="28"/>
          <w:szCs w:val="28"/>
        </w:rPr>
        <w:t>6）有下列情形之一的，视为投标人相互串通投标： </w:t>
      </w:r>
    </w:p>
    <w:p w14:paraId="4FD3E06F">
      <w:pPr>
        <w:snapToGrid w:val="0"/>
        <w:spacing w:line="360" w:lineRule="auto"/>
        <w:ind w:firstLine="280" w:firstLineChars="100"/>
        <w:rPr>
          <w:rFonts w:hint="eastAsia" w:ascii="宋体" w:hAnsi="宋体" w:cs="宋体"/>
          <w:sz w:val="28"/>
          <w:szCs w:val="28"/>
        </w:rPr>
      </w:pPr>
      <w:r>
        <w:rPr>
          <w:rFonts w:hint="eastAsia" w:ascii="宋体" w:hAnsi="宋体" w:cs="宋体"/>
          <w:sz w:val="28"/>
          <w:szCs w:val="28"/>
        </w:rPr>
        <w:t>⑴不同投标人的投标文件由同一单位或者个人编制； </w:t>
      </w:r>
    </w:p>
    <w:p w14:paraId="5E0DE854">
      <w:pPr>
        <w:snapToGrid w:val="0"/>
        <w:spacing w:line="360" w:lineRule="auto"/>
        <w:ind w:firstLine="280" w:firstLineChars="100"/>
        <w:rPr>
          <w:rFonts w:hint="eastAsia" w:ascii="宋体" w:hAnsi="宋体" w:cs="宋体"/>
          <w:sz w:val="28"/>
          <w:szCs w:val="28"/>
        </w:rPr>
      </w:pPr>
      <w:r>
        <w:rPr>
          <w:rFonts w:hint="eastAsia" w:ascii="宋体" w:hAnsi="宋体" w:cs="宋体"/>
          <w:sz w:val="28"/>
          <w:szCs w:val="28"/>
        </w:rPr>
        <w:t>⑵不同投标人委托同一单位或者个人办理投标事宜； </w:t>
      </w:r>
    </w:p>
    <w:p w14:paraId="2E78AD0D">
      <w:pPr>
        <w:snapToGrid w:val="0"/>
        <w:spacing w:line="360" w:lineRule="auto"/>
        <w:ind w:firstLine="280" w:firstLineChars="100"/>
        <w:rPr>
          <w:rFonts w:hint="eastAsia" w:ascii="宋体" w:hAnsi="宋体" w:cs="宋体"/>
          <w:sz w:val="28"/>
          <w:szCs w:val="28"/>
        </w:rPr>
      </w:pPr>
      <w:r>
        <w:rPr>
          <w:rFonts w:hint="eastAsia" w:ascii="宋体" w:hAnsi="宋体" w:cs="宋体"/>
          <w:sz w:val="28"/>
          <w:szCs w:val="28"/>
        </w:rPr>
        <w:t>⑶不同投标人的投标文件载明的项目管理成员为同一人； </w:t>
      </w:r>
    </w:p>
    <w:p w14:paraId="72654E87">
      <w:pPr>
        <w:snapToGrid w:val="0"/>
        <w:spacing w:line="360" w:lineRule="auto"/>
        <w:ind w:firstLine="280" w:firstLineChars="100"/>
        <w:rPr>
          <w:rFonts w:hint="eastAsia" w:ascii="宋体" w:hAnsi="宋体" w:cs="宋体"/>
          <w:sz w:val="28"/>
          <w:szCs w:val="28"/>
        </w:rPr>
      </w:pPr>
      <w:r>
        <w:rPr>
          <w:rFonts w:hint="eastAsia" w:ascii="宋体" w:hAnsi="宋体" w:cs="宋体"/>
          <w:sz w:val="28"/>
          <w:szCs w:val="28"/>
        </w:rPr>
        <w:t>⑷不同投标人的投标文件异常一致或者投标报价呈规律性差异； </w:t>
      </w:r>
    </w:p>
    <w:p w14:paraId="02BFB8B8">
      <w:pPr>
        <w:snapToGrid w:val="0"/>
        <w:spacing w:line="360" w:lineRule="auto"/>
        <w:ind w:firstLine="280" w:firstLineChars="100"/>
        <w:rPr>
          <w:rFonts w:hint="eastAsia" w:ascii="宋体" w:hAnsi="宋体" w:cs="宋体"/>
          <w:sz w:val="28"/>
          <w:szCs w:val="28"/>
        </w:rPr>
      </w:pPr>
      <w:r>
        <w:rPr>
          <w:rFonts w:hint="eastAsia" w:ascii="宋体" w:hAnsi="宋体" w:cs="宋体"/>
          <w:sz w:val="28"/>
          <w:szCs w:val="28"/>
        </w:rPr>
        <w:t>⑸不同投标人的投标文件相互混装； </w:t>
      </w:r>
    </w:p>
    <w:p w14:paraId="108C0D13">
      <w:pPr>
        <w:snapToGrid w:val="0"/>
        <w:spacing w:line="360" w:lineRule="auto"/>
        <w:ind w:firstLine="280" w:firstLineChars="100"/>
        <w:rPr>
          <w:rFonts w:hint="eastAsia" w:ascii="宋体" w:hAnsi="宋体" w:cs="宋体"/>
          <w:sz w:val="28"/>
          <w:szCs w:val="28"/>
        </w:rPr>
      </w:pPr>
      <w:r>
        <w:rPr>
          <w:rFonts w:hint="eastAsia" w:ascii="宋体" w:hAnsi="宋体" w:cs="宋体"/>
          <w:sz w:val="28"/>
          <w:szCs w:val="28"/>
        </w:rPr>
        <w:t>⑹不同投标人的投标保证金从同一单位或者个人的账户转出。 </w:t>
      </w:r>
    </w:p>
    <w:p w14:paraId="67A00D3F">
      <w:pPr>
        <w:snapToGrid w:val="0"/>
        <w:spacing w:line="360" w:lineRule="auto"/>
        <w:ind w:firstLine="280" w:firstLineChars="100"/>
        <w:rPr>
          <w:rFonts w:hint="eastAsia" w:ascii="宋体" w:hAnsi="宋体" w:cs="宋体"/>
          <w:sz w:val="28"/>
          <w:szCs w:val="28"/>
        </w:rPr>
      </w:pPr>
      <w:r>
        <w:rPr>
          <w:rFonts w:hint="eastAsia" w:ascii="宋体" w:hAnsi="宋体" w:cs="宋体"/>
          <w:sz w:val="28"/>
          <w:szCs w:val="28"/>
        </w:rPr>
        <w:t>有以上行为之一，视同废标处理，不得参与我司后续其它购置项目的招标，视情节严重，违约金为500-5000元不等，并保留追究法律责任。 </w:t>
      </w:r>
    </w:p>
    <w:p w14:paraId="70DB87AA">
      <w:pPr>
        <w:snapToGrid w:val="0"/>
        <w:spacing w:line="360" w:lineRule="auto"/>
        <w:ind w:firstLine="280" w:firstLineChars="100"/>
        <w:rPr>
          <w:rFonts w:hint="eastAsia" w:ascii="宋体" w:hAnsi="宋体" w:cs="宋体"/>
          <w:sz w:val="28"/>
          <w:szCs w:val="28"/>
        </w:rPr>
      </w:pPr>
      <w:r>
        <w:rPr>
          <w:rFonts w:hint="eastAsia" w:ascii="宋体" w:hAnsi="宋体" w:cs="宋体"/>
          <w:sz w:val="28"/>
          <w:szCs w:val="28"/>
        </w:rPr>
        <w:t>7）禁止投标人有以下行为。 </w:t>
      </w:r>
    </w:p>
    <w:p w14:paraId="7A948420">
      <w:pPr>
        <w:snapToGrid w:val="0"/>
        <w:spacing w:line="360" w:lineRule="auto"/>
        <w:ind w:firstLine="280" w:firstLineChars="100"/>
        <w:rPr>
          <w:rFonts w:hint="eastAsia" w:ascii="宋体" w:hAnsi="宋体" w:cs="宋体"/>
          <w:sz w:val="28"/>
          <w:szCs w:val="28"/>
        </w:rPr>
      </w:pPr>
      <w:r>
        <w:rPr>
          <w:rFonts w:hint="eastAsia" w:ascii="宋体" w:hAnsi="宋体" w:cs="宋体"/>
          <w:sz w:val="28"/>
          <w:szCs w:val="28"/>
        </w:rPr>
        <w:t>⑴投标人不得有任何作弊、行贿行为。 </w:t>
      </w:r>
    </w:p>
    <w:p w14:paraId="29E6DFEB">
      <w:pPr>
        <w:snapToGrid w:val="0"/>
        <w:spacing w:line="360" w:lineRule="auto"/>
        <w:ind w:firstLine="280" w:firstLineChars="100"/>
        <w:rPr>
          <w:rFonts w:hint="eastAsia" w:ascii="宋体" w:hAnsi="宋体" w:cs="宋体"/>
          <w:sz w:val="28"/>
          <w:szCs w:val="28"/>
        </w:rPr>
      </w:pPr>
      <w:r>
        <w:rPr>
          <w:rFonts w:hint="eastAsia" w:ascii="宋体" w:hAnsi="宋体" w:cs="宋体"/>
          <w:sz w:val="28"/>
          <w:szCs w:val="28"/>
        </w:rPr>
        <w:t>⑵投标人不得采取排挤和恐吓等不正当手段影响和破坏招标。 </w:t>
      </w:r>
    </w:p>
    <w:p w14:paraId="6894933F">
      <w:pPr>
        <w:snapToGrid w:val="0"/>
        <w:spacing w:line="360" w:lineRule="auto"/>
        <w:ind w:firstLine="280" w:firstLineChars="100"/>
        <w:rPr>
          <w:rFonts w:hint="eastAsia" w:ascii="宋体" w:hAnsi="宋体" w:cs="宋体"/>
          <w:sz w:val="28"/>
          <w:szCs w:val="28"/>
        </w:rPr>
      </w:pPr>
      <w:r>
        <w:rPr>
          <w:rFonts w:hint="eastAsia" w:ascii="宋体" w:hAnsi="宋体" w:cs="宋体"/>
          <w:sz w:val="28"/>
          <w:szCs w:val="28"/>
        </w:rPr>
        <w:t>⑶投标人不得以挂靠、转包的方式承接本项目 </w:t>
      </w:r>
    </w:p>
    <w:p w14:paraId="6F360E02">
      <w:pPr>
        <w:snapToGrid w:val="0"/>
        <w:spacing w:line="360" w:lineRule="auto"/>
        <w:ind w:firstLine="280" w:firstLineChars="100"/>
        <w:rPr>
          <w:rFonts w:hint="eastAsia" w:ascii="宋体" w:hAnsi="宋体" w:cs="宋体"/>
          <w:sz w:val="28"/>
          <w:szCs w:val="28"/>
        </w:rPr>
      </w:pPr>
      <w:r>
        <w:rPr>
          <w:rFonts w:hint="eastAsia" w:ascii="宋体" w:hAnsi="宋体" w:cs="宋体"/>
          <w:sz w:val="28"/>
          <w:szCs w:val="28"/>
        </w:rPr>
        <w:t>有以上行为之一，将取消投标资格，若已经中标，则视同废标处理，后期不得参与我司其它项目的招标，视情节严重，违约金为500-5000元不等，并保留追究法律责任。 </w:t>
      </w:r>
    </w:p>
    <w:p w14:paraId="3D991897">
      <w:pPr>
        <w:snapToGrid w:val="0"/>
        <w:spacing w:line="360" w:lineRule="auto"/>
        <w:rPr>
          <w:rFonts w:hint="eastAsia" w:ascii="宋体" w:hAnsi="宋体" w:cs="宋体"/>
          <w:sz w:val="28"/>
          <w:szCs w:val="28"/>
        </w:rPr>
      </w:pPr>
      <w:r>
        <w:rPr>
          <w:rFonts w:hint="eastAsia" w:ascii="宋体" w:hAnsi="宋体" w:cs="宋体"/>
          <w:sz w:val="28"/>
          <w:szCs w:val="28"/>
        </w:rPr>
        <w:t>12.中标后七个工作日内签订合同。中标的投标人的投标保证金将</w:t>
      </w:r>
      <w:r>
        <w:rPr>
          <w:rFonts w:hint="eastAsia" w:ascii="宋体" w:hAnsi="宋体" w:cs="宋体"/>
          <w:sz w:val="28"/>
          <w:szCs w:val="28"/>
          <w:lang w:val="en-US" w:eastAsia="zh-CN"/>
        </w:rPr>
        <w:t>在</w:t>
      </w:r>
      <w:r>
        <w:rPr>
          <w:rFonts w:hint="eastAsia" w:ascii="宋体" w:hAnsi="宋体" w:cs="宋体"/>
          <w:sz w:val="28"/>
          <w:szCs w:val="28"/>
        </w:rPr>
        <w:t>合同</w:t>
      </w:r>
      <w:r>
        <w:rPr>
          <w:rFonts w:hint="eastAsia" w:ascii="宋体" w:hAnsi="宋体" w:cs="宋体"/>
          <w:sz w:val="28"/>
          <w:szCs w:val="28"/>
          <w:lang w:val="en-US" w:eastAsia="zh-CN"/>
        </w:rPr>
        <w:t>履约完成后10天内</w:t>
      </w:r>
      <w:r>
        <w:rPr>
          <w:rFonts w:hint="eastAsia" w:ascii="宋体" w:hAnsi="宋体" w:cs="宋体"/>
          <w:sz w:val="28"/>
          <w:szCs w:val="28"/>
        </w:rPr>
        <w:t>返还。投标方存在任何舞弊及悔标行为，保证金不予返还。未中标的投标人的投标保证金在招标人与中标人签订合同后7日内，向未中标的投标人和中标人无息退还投标保证金。</w:t>
      </w:r>
    </w:p>
    <w:p w14:paraId="2A0D31CF">
      <w:pPr>
        <w:snapToGrid w:val="0"/>
        <w:spacing w:line="360" w:lineRule="auto"/>
        <w:rPr>
          <w:rFonts w:hint="eastAsia" w:ascii="宋体" w:hAnsi="宋体" w:eastAsia="宋体" w:cs="宋体"/>
          <w:sz w:val="28"/>
          <w:szCs w:val="28"/>
          <w:lang w:eastAsia="zh-CN"/>
        </w:rPr>
      </w:pPr>
      <w:r>
        <w:rPr>
          <w:rFonts w:hint="eastAsia" w:ascii="宋体" w:hAnsi="宋体" w:cs="宋体"/>
          <w:sz w:val="28"/>
          <w:szCs w:val="28"/>
        </w:rPr>
        <w:t>13.评标办法：</w:t>
      </w:r>
      <w:r>
        <w:rPr>
          <w:rFonts w:hint="eastAsia" w:ascii="宋体" w:hAnsi="宋体" w:cs="宋体"/>
          <w:sz w:val="28"/>
          <w:szCs w:val="28"/>
          <w:lang w:val="en-US" w:eastAsia="zh-CN"/>
        </w:rPr>
        <w:t>最高价中标法</w:t>
      </w:r>
      <w:r>
        <w:rPr>
          <w:rFonts w:hint="eastAsia" w:ascii="宋体" w:hAnsi="宋体" w:cs="宋体"/>
          <w:sz w:val="28"/>
          <w:szCs w:val="28"/>
          <w:lang w:eastAsia="zh-CN"/>
        </w:rPr>
        <w:t>。</w:t>
      </w:r>
    </w:p>
    <w:p w14:paraId="6CF213E0">
      <w:pPr>
        <w:snapToGrid w:val="0"/>
        <w:spacing w:line="360" w:lineRule="auto"/>
        <w:ind w:firstLine="280" w:firstLineChars="100"/>
        <w:rPr>
          <w:rFonts w:hint="eastAsia" w:ascii="宋体" w:hAnsi="宋体" w:cs="宋体"/>
          <w:sz w:val="28"/>
          <w:szCs w:val="28"/>
        </w:rPr>
      </w:pPr>
      <w:r>
        <w:rPr>
          <w:rFonts w:hint="eastAsia" w:ascii="宋体" w:hAnsi="宋体" w:cs="宋体"/>
          <w:sz w:val="28"/>
          <w:szCs w:val="28"/>
        </w:rPr>
        <w:t>1）如果出现下列情形之一时，招标人有权将招标转为竞争性谈判或采用其他采购方式。</w:t>
      </w:r>
    </w:p>
    <w:p w14:paraId="5A8E6CD3">
      <w:pPr>
        <w:snapToGrid w:val="0"/>
        <w:spacing w:line="360" w:lineRule="auto"/>
        <w:rPr>
          <w:rFonts w:hint="eastAsia" w:ascii="宋体" w:hAnsi="宋体" w:cs="宋体"/>
          <w:sz w:val="28"/>
          <w:szCs w:val="28"/>
        </w:rPr>
      </w:pPr>
      <w:r>
        <w:rPr>
          <w:rFonts w:hint="eastAsia" w:ascii="宋体" w:hAnsi="宋体" w:cs="宋体"/>
          <w:sz w:val="28"/>
          <w:szCs w:val="28"/>
        </w:rPr>
        <w:t>（1）投标人不足三人或有效投标不足三份；</w:t>
      </w:r>
    </w:p>
    <w:p w14:paraId="2960D35E">
      <w:pPr>
        <w:snapToGrid w:val="0"/>
        <w:spacing w:line="360" w:lineRule="auto"/>
        <w:rPr>
          <w:rFonts w:hint="eastAsia" w:ascii="宋体" w:hAnsi="宋体" w:cs="宋体"/>
          <w:sz w:val="28"/>
          <w:szCs w:val="28"/>
        </w:rPr>
      </w:pPr>
      <w:r>
        <w:rPr>
          <w:rFonts w:hint="eastAsia" w:ascii="宋体" w:hAnsi="宋体" w:cs="宋体"/>
          <w:sz w:val="28"/>
          <w:szCs w:val="28"/>
        </w:rPr>
        <w:t>（2）全部投标报价均</w:t>
      </w:r>
      <w:r>
        <w:rPr>
          <w:rFonts w:hint="eastAsia" w:ascii="宋体" w:hAnsi="宋体" w:cs="宋体"/>
          <w:sz w:val="28"/>
          <w:szCs w:val="28"/>
          <w:lang w:val="en-US" w:eastAsia="zh-CN"/>
        </w:rPr>
        <w:t>低</w:t>
      </w:r>
      <w:r>
        <w:rPr>
          <w:rFonts w:hint="eastAsia" w:ascii="宋体" w:hAnsi="宋体" w:cs="宋体"/>
          <w:sz w:val="28"/>
          <w:szCs w:val="28"/>
        </w:rPr>
        <w:t>于招标人期望值；</w:t>
      </w:r>
    </w:p>
    <w:p w14:paraId="463A5C7E">
      <w:pPr>
        <w:snapToGrid w:val="0"/>
        <w:spacing w:line="360" w:lineRule="auto"/>
        <w:rPr>
          <w:rFonts w:hint="eastAsia" w:ascii="宋体" w:hAnsi="宋体" w:cs="宋体"/>
          <w:sz w:val="28"/>
          <w:szCs w:val="28"/>
        </w:rPr>
      </w:pPr>
      <w:r>
        <w:rPr>
          <w:rFonts w:hint="eastAsia" w:ascii="宋体" w:hAnsi="宋体" w:cs="宋体"/>
          <w:sz w:val="28"/>
          <w:szCs w:val="28"/>
        </w:rPr>
        <w:t>（3）投标人超过3个，评标过程中，评委认为所有投标文件不具备竞争性；</w:t>
      </w:r>
    </w:p>
    <w:p w14:paraId="79F6E612">
      <w:pPr>
        <w:snapToGrid w:val="0"/>
        <w:spacing w:line="360" w:lineRule="auto"/>
        <w:rPr>
          <w:rFonts w:hint="eastAsia" w:ascii="宋体" w:hAnsi="宋体" w:cs="宋体"/>
          <w:sz w:val="28"/>
          <w:szCs w:val="28"/>
        </w:rPr>
      </w:pPr>
      <w:r>
        <w:rPr>
          <w:rFonts w:hint="eastAsia" w:ascii="宋体" w:hAnsi="宋体" w:cs="宋体"/>
          <w:sz w:val="28"/>
          <w:szCs w:val="28"/>
        </w:rPr>
        <w:t>（4）第一投标候选人放弃中标。</w:t>
      </w:r>
    </w:p>
    <w:p w14:paraId="36958C44">
      <w:pPr>
        <w:snapToGrid w:val="0"/>
        <w:spacing w:line="360" w:lineRule="auto"/>
        <w:ind w:firstLine="280" w:firstLineChars="100"/>
        <w:rPr>
          <w:rFonts w:hint="eastAsia" w:ascii="宋体" w:hAnsi="宋体" w:cs="宋体"/>
          <w:sz w:val="28"/>
          <w:szCs w:val="28"/>
        </w:rPr>
      </w:pPr>
      <w:r>
        <w:rPr>
          <w:rFonts w:hint="eastAsia" w:ascii="宋体" w:hAnsi="宋体" w:cs="宋体"/>
          <w:sz w:val="28"/>
          <w:szCs w:val="28"/>
        </w:rPr>
        <w:t>2）我方声明：最</w:t>
      </w:r>
      <w:r>
        <w:rPr>
          <w:rFonts w:hint="eastAsia" w:ascii="宋体" w:hAnsi="宋体" w:cs="宋体"/>
          <w:sz w:val="28"/>
          <w:szCs w:val="28"/>
          <w:lang w:val="en-US" w:eastAsia="zh-CN"/>
        </w:rPr>
        <w:t>高</w:t>
      </w:r>
      <w:r>
        <w:rPr>
          <w:rFonts w:hint="eastAsia" w:ascii="宋体" w:hAnsi="宋体" w:cs="宋体"/>
          <w:sz w:val="28"/>
          <w:szCs w:val="28"/>
        </w:rPr>
        <w:t>投标报价不是中标的保证，评标活动遵循公平、公正、科学和择优的原则。</w:t>
      </w:r>
    </w:p>
    <w:p w14:paraId="551AD4FE">
      <w:pPr>
        <w:snapToGrid w:val="0"/>
        <w:spacing w:line="360" w:lineRule="auto"/>
        <w:rPr>
          <w:rFonts w:hint="eastAsia" w:ascii="宋体" w:hAnsi="宋体" w:cs="宋体"/>
          <w:sz w:val="28"/>
          <w:szCs w:val="28"/>
        </w:rPr>
      </w:pPr>
      <w:r>
        <w:rPr>
          <w:rFonts w:hint="eastAsia" w:ascii="宋体" w:hAnsi="宋体" w:cs="宋体"/>
          <w:sz w:val="28"/>
          <w:szCs w:val="28"/>
        </w:rPr>
        <w:t>14.项目联系信息：</w:t>
      </w:r>
    </w:p>
    <w:p w14:paraId="023C46D7">
      <w:pPr>
        <w:snapToGrid w:val="0"/>
        <w:spacing w:line="360" w:lineRule="auto"/>
        <w:ind w:firstLine="280" w:firstLineChars="100"/>
        <w:rPr>
          <w:rFonts w:hint="eastAsia" w:ascii="宋体" w:hAnsi="宋体" w:cs="宋体"/>
          <w:sz w:val="28"/>
          <w:szCs w:val="28"/>
        </w:rPr>
      </w:pPr>
      <w:r>
        <w:rPr>
          <w:rFonts w:hint="eastAsia" w:ascii="宋体" w:hAnsi="宋体" w:cs="宋体"/>
          <w:sz w:val="28"/>
          <w:szCs w:val="28"/>
        </w:rPr>
        <w:t>联系人：</w:t>
      </w:r>
      <w:r>
        <w:rPr>
          <w:rFonts w:hint="eastAsia" w:ascii="宋体" w:hAnsi="宋体" w:cs="宋体"/>
          <w:sz w:val="28"/>
          <w:szCs w:val="28"/>
          <w:lang w:val="en-US" w:eastAsia="zh-CN"/>
        </w:rPr>
        <w:t>沈贵升</w:t>
      </w:r>
      <w:r>
        <w:rPr>
          <w:rFonts w:hint="eastAsia" w:ascii="宋体" w:hAnsi="宋体" w:cs="宋体"/>
          <w:sz w:val="28"/>
          <w:szCs w:val="28"/>
        </w:rPr>
        <w:t> </w:t>
      </w:r>
    </w:p>
    <w:p w14:paraId="0DB3547C">
      <w:pPr>
        <w:snapToGrid w:val="0"/>
        <w:spacing w:line="360" w:lineRule="auto"/>
        <w:ind w:firstLine="280" w:firstLineChars="100"/>
        <w:rPr>
          <w:rFonts w:hint="default" w:ascii="宋体" w:hAnsi="宋体" w:eastAsia="宋体" w:cs="宋体"/>
          <w:sz w:val="28"/>
          <w:szCs w:val="28"/>
          <w:lang w:val="en-US" w:eastAsia="zh-CN"/>
        </w:rPr>
      </w:pPr>
      <w:r>
        <w:rPr>
          <w:rFonts w:hint="eastAsia" w:ascii="宋体" w:hAnsi="宋体" w:cs="宋体"/>
          <w:sz w:val="28"/>
          <w:szCs w:val="28"/>
        </w:rPr>
        <w:t>联系电话：1</w:t>
      </w:r>
      <w:r>
        <w:rPr>
          <w:rFonts w:hint="eastAsia" w:ascii="宋体" w:hAnsi="宋体" w:cs="宋体"/>
          <w:sz w:val="28"/>
          <w:szCs w:val="28"/>
          <w:lang w:val="en-US" w:eastAsia="zh-CN"/>
        </w:rPr>
        <w:t>8851651994</w:t>
      </w:r>
    </w:p>
    <w:p w14:paraId="164FEBCB">
      <w:pPr>
        <w:snapToGrid w:val="0"/>
        <w:spacing w:line="360" w:lineRule="auto"/>
        <w:ind w:firstLine="280" w:firstLineChars="100"/>
        <w:rPr>
          <w:rFonts w:hint="eastAsia" w:ascii="宋体" w:hAnsi="宋体" w:cs="宋体"/>
          <w:sz w:val="28"/>
          <w:szCs w:val="28"/>
        </w:rPr>
      </w:pPr>
      <w:r>
        <w:rPr>
          <w:rFonts w:hint="eastAsia" w:ascii="宋体" w:hAnsi="宋体" w:cs="宋体"/>
          <w:sz w:val="28"/>
          <w:szCs w:val="28"/>
        </w:rPr>
        <w:t>办公地点：科达新能源办公楼二楼</w:t>
      </w:r>
    </w:p>
    <w:p w14:paraId="26F204D3">
      <w:pPr>
        <w:snapToGrid w:val="0"/>
        <w:spacing w:line="360" w:lineRule="auto"/>
        <w:rPr>
          <w:rFonts w:hint="eastAsia" w:ascii="宋体" w:hAnsi="宋体" w:cs="宋体"/>
          <w:sz w:val="28"/>
          <w:szCs w:val="28"/>
        </w:rPr>
      </w:pPr>
      <w:r>
        <w:rPr>
          <w:rFonts w:hint="eastAsia" w:ascii="宋体" w:hAnsi="宋体" w:cs="宋体"/>
          <w:sz w:val="28"/>
          <w:szCs w:val="28"/>
        </w:rPr>
        <w:t>15.开标时间：202</w:t>
      </w:r>
      <w:r>
        <w:rPr>
          <w:rFonts w:hint="eastAsia" w:ascii="宋体" w:hAnsi="宋体" w:cs="宋体"/>
          <w:sz w:val="28"/>
          <w:szCs w:val="28"/>
          <w:lang w:val="en-US" w:eastAsia="zh-CN"/>
        </w:rPr>
        <w:t>6</w:t>
      </w:r>
      <w:r>
        <w:rPr>
          <w:rFonts w:hint="eastAsia" w:ascii="宋体" w:hAnsi="宋体" w:cs="宋体"/>
          <w:sz w:val="28"/>
          <w:szCs w:val="28"/>
        </w:rPr>
        <w:t>年</w:t>
      </w:r>
      <w:r>
        <w:rPr>
          <w:rFonts w:hint="eastAsia" w:ascii="宋体" w:hAnsi="宋体" w:cs="宋体"/>
          <w:sz w:val="28"/>
          <w:szCs w:val="28"/>
          <w:lang w:val="en-US" w:eastAsia="zh-CN"/>
        </w:rPr>
        <w:t>02</w:t>
      </w:r>
      <w:r>
        <w:rPr>
          <w:rFonts w:hint="eastAsia" w:ascii="宋体" w:hAnsi="宋体" w:cs="宋体"/>
          <w:sz w:val="28"/>
          <w:szCs w:val="28"/>
        </w:rPr>
        <w:t>月</w:t>
      </w:r>
      <w:r>
        <w:rPr>
          <w:rFonts w:hint="eastAsia" w:ascii="宋体" w:hAnsi="宋体" w:cs="宋体"/>
          <w:sz w:val="28"/>
          <w:szCs w:val="28"/>
          <w:lang w:val="en-US" w:eastAsia="zh-CN"/>
        </w:rPr>
        <w:t>08</w:t>
      </w:r>
      <w:r>
        <w:rPr>
          <w:rFonts w:hint="eastAsia" w:ascii="宋体" w:hAnsi="宋体" w:cs="宋体"/>
          <w:sz w:val="28"/>
          <w:szCs w:val="28"/>
        </w:rPr>
        <w:t>日。</w:t>
      </w:r>
    </w:p>
    <w:p w14:paraId="0931B19E">
      <w:pPr>
        <w:snapToGrid w:val="0"/>
        <w:spacing w:line="360" w:lineRule="auto"/>
        <w:ind w:firstLine="280" w:firstLineChars="100"/>
        <w:rPr>
          <w:rFonts w:hint="eastAsia" w:ascii="宋体" w:hAnsi="宋体" w:cs="宋体"/>
          <w:sz w:val="28"/>
          <w:szCs w:val="28"/>
        </w:rPr>
      </w:pPr>
      <w:r>
        <w:rPr>
          <w:rFonts w:hint="eastAsia" w:ascii="宋体" w:hAnsi="宋体" w:cs="宋体"/>
          <w:sz w:val="28"/>
          <w:szCs w:val="28"/>
        </w:rPr>
        <w:t>声明：投标方对招标方的技术参数等商业机密负有保密义务，未经招标方允许不得向第三方泄露。</w:t>
      </w:r>
    </w:p>
    <w:p w14:paraId="7F035D1A">
      <w:pPr>
        <w:widowControl/>
        <w:spacing w:line="360" w:lineRule="auto"/>
        <w:rPr>
          <w:rFonts w:hint="eastAsia" w:ascii="宋体" w:hAnsi="宋体" w:cs="宋体"/>
          <w:sz w:val="28"/>
          <w:szCs w:val="28"/>
        </w:rPr>
      </w:pPr>
      <w:r>
        <w:rPr>
          <w:rFonts w:hint="eastAsia" w:ascii="宋体" w:hAnsi="宋体" w:cs="宋体"/>
          <w:color w:val="666666"/>
          <w:kern w:val="0"/>
          <w:sz w:val="28"/>
          <w:szCs w:val="28"/>
          <w:lang w:bidi="ar"/>
        </w:rPr>
        <w:t xml:space="preserve">      </w:t>
      </w:r>
      <w:r>
        <w:rPr>
          <w:rFonts w:hint="eastAsia" w:ascii="宋体" w:hAnsi="宋体" w:cs="宋体"/>
          <w:sz w:val="28"/>
          <w:szCs w:val="28"/>
        </w:rPr>
        <w:t>本次招标的最终解释权归招标方。</w:t>
      </w:r>
    </w:p>
    <w:p w14:paraId="73B59AFE">
      <w:pPr>
        <w:pStyle w:val="3"/>
        <w:rPr>
          <w:rFonts w:ascii="宋体" w:hAnsi="宋体" w:cs="宋体"/>
          <w:color w:val="333333"/>
          <w:sz w:val="24"/>
          <w:szCs w:val="24"/>
        </w:rPr>
      </w:pPr>
    </w:p>
    <w:p w14:paraId="1BB9DD65">
      <w:pPr>
        <w:pStyle w:val="2"/>
        <w:snapToGrid w:val="0"/>
        <w:spacing w:line="240" w:lineRule="auto"/>
        <w:rPr>
          <w:rFonts w:hint="eastAsia" w:ascii="MiSans Light" w:hAnsi="MiSans Light" w:eastAsia="MiSans Light"/>
        </w:rPr>
      </w:pPr>
      <w:r>
        <w:rPr>
          <w:rFonts w:ascii="MiSans Light" w:hAnsi="MiSans Light" w:eastAsia="MiSans Light"/>
        </w:rPr>
        <w:t>附</w:t>
      </w:r>
      <w:r>
        <w:rPr>
          <w:rFonts w:hint="eastAsia" w:ascii="MiSans Light" w:hAnsi="MiSans Light" w:eastAsia="MiSans Light"/>
        </w:rPr>
        <w:t>件1</w:t>
      </w:r>
      <w:r>
        <w:rPr>
          <w:rFonts w:ascii="MiSans Light" w:hAnsi="MiSans Light" w:eastAsia="MiSans Light"/>
        </w:rPr>
        <w:t>：</w:t>
      </w:r>
      <w:r>
        <w:rPr>
          <w:rFonts w:hint="eastAsia" w:ascii="MiSans Light" w:hAnsi="MiSans Light" w:eastAsia="MiSans Light"/>
        </w:rPr>
        <w:t>投标报价</w:t>
      </w:r>
    </w:p>
    <w:p w14:paraId="2AFF3E7A">
      <w:pPr>
        <w:snapToGrid w:val="0"/>
        <w:rPr>
          <w:rFonts w:hint="eastAsia" w:ascii="MiSans Light" w:hAnsi="MiSans Light" w:eastAsia="MiSans Light"/>
          <w:szCs w:val="21"/>
        </w:rPr>
      </w:pPr>
      <w:r>
        <w:rPr>
          <w:rFonts w:hint="eastAsia" w:ascii="MiSans Light" w:hAnsi="MiSans Light" w:eastAsia="MiSans Light"/>
          <w:szCs w:val="21"/>
        </w:rPr>
        <w:t>福建科达新能源科技有限公司：</w:t>
      </w:r>
    </w:p>
    <w:p w14:paraId="37CE1D7C">
      <w:pPr>
        <w:snapToGrid w:val="0"/>
        <w:rPr>
          <w:rFonts w:hint="eastAsia" w:ascii="MiSans Light" w:hAnsi="MiSans Light" w:eastAsia="MiSans Light"/>
          <w:szCs w:val="21"/>
        </w:rPr>
      </w:pPr>
    </w:p>
    <w:p w14:paraId="1E19F960">
      <w:pPr>
        <w:snapToGrid w:val="0"/>
        <w:spacing w:line="360" w:lineRule="auto"/>
        <w:ind w:firstLine="420" w:firstLineChars="200"/>
        <w:rPr>
          <w:rFonts w:hint="eastAsia" w:ascii="MiSans Light" w:hAnsi="MiSans Light" w:eastAsia="MiSans Light"/>
          <w:szCs w:val="21"/>
        </w:rPr>
      </w:pPr>
      <w:r>
        <w:rPr>
          <w:rFonts w:hint="eastAsia" w:ascii="MiSans Light" w:hAnsi="MiSans Light" w:eastAsia="MiSans Light"/>
          <w:szCs w:val="21"/>
        </w:rPr>
        <w:t>我单位认真研究了编号为：FJKD-202</w:t>
      </w:r>
      <w:r>
        <w:rPr>
          <w:rFonts w:hint="eastAsia" w:ascii="MiSans Light" w:hAnsi="MiSans Light" w:eastAsia="MiSans Light"/>
          <w:szCs w:val="21"/>
          <w:lang w:val="en-US" w:eastAsia="zh-CN"/>
        </w:rPr>
        <w:t>6</w:t>
      </w:r>
      <w:r>
        <w:rPr>
          <w:rFonts w:hint="eastAsia" w:ascii="MiSans Light" w:hAnsi="MiSans Light" w:eastAsia="MiSans Light"/>
          <w:szCs w:val="21"/>
        </w:rPr>
        <w:t>0</w:t>
      </w:r>
      <w:r>
        <w:rPr>
          <w:rFonts w:hint="eastAsia" w:ascii="MiSans Light" w:hAnsi="MiSans Light" w:eastAsia="MiSans Light"/>
          <w:szCs w:val="21"/>
          <w:lang w:val="en-US" w:eastAsia="zh-CN"/>
        </w:rPr>
        <w:t>124</w:t>
      </w:r>
      <w:r>
        <w:rPr>
          <w:rFonts w:hint="eastAsia" w:ascii="MiSans Light" w:hAnsi="MiSans Light" w:eastAsia="MiSans Light"/>
          <w:szCs w:val="21"/>
        </w:rPr>
        <w:t>0</w:t>
      </w:r>
      <w:r>
        <w:rPr>
          <w:rFonts w:hint="eastAsia" w:ascii="MiSans Light" w:hAnsi="MiSans Light" w:eastAsia="MiSans Light"/>
          <w:szCs w:val="21"/>
          <w:lang w:val="en-US" w:eastAsia="zh-CN"/>
        </w:rPr>
        <w:t>4-00</w:t>
      </w:r>
      <w:r>
        <w:rPr>
          <w:rFonts w:hint="eastAsia" w:ascii="MiSans Light" w:hAnsi="MiSans Light" w:eastAsia="MiSans Light"/>
          <w:szCs w:val="21"/>
        </w:rPr>
        <w:t>的关于福建科达新能源科技有限公司</w:t>
      </w:r>
      <w:r>
        <w:rPr>
          <w:rFonts w:hint="eastAsia" w:ascii="MiSans Light" w:hAnsi="MiSans Light" w:eastAsia="MiSans Light"/>
          <w:szCs w:val="21"/>
          <w:lang w:val="en-US" w:eastAsia="zh-CN"/>
        </w:rPr>
        <w:t>铜铝废旧物资售卖项目</w:t>
      </w:r>
      <w:r>
        <w:rPr>
          <w:rFonts w:hint="eastAsia" w:ascii="MiSans Light" w:hAnsi="MiSans Light" w:eastAsia="MiSans Light"/>
          <w:szCs w:val="21"/>
        </w:rPr>
        <w:t>的招标文件，愿意遵守招标文件中的所有要求：</w:t>
      </w:r>
    </w:p>
    <w:p w14:paraId="159EAAFA">
      <w:pPr>
        <w:pStyle w:val="3"/>
      </w:pPr>
    </w:p>
    <w:tbl>
      <w:tblPr>
        <w:tblStyle w:val="6"/>
        <w:tblW w:w="88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76"/>
        <w:gridCol w:w="1013"/>
        <w:gridCol w:w="987"/>
        <w:gridCol w:w="733"/>
        <w:gridCol w:w="3267"/>
        <w:gridCol w:w="2322"/>
      </w:tblGrid>
      <w:tr w14:paraId="03059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jc w:val="center"/>
        </w:trPr>
        <w:tc>
          <w:tcPr>
            <w:tcW w:w="576" w:type="dxa"/>
            <w:vAlign w:val="center"/>
          </w:tcPr>
          <w:p w14:paraId="2B910A76">
            <w:pPr>
              <w:pStyle w:val="3"/>
              <w:jc w:val="center"/>
              <w:rPr>
                <w:rFonts w:hint="eastAsia" w:eastAsia="宋体"/>
                <w:vertAlign w:val="baseline"/>
                <w:lang w:val="en-US" w:eastAsia="zh-CN"/>
              </w:rPr>
            </w:pPr>
            <w:r>
              <w:rPr>
                <w:rFonts w:hint="eastAsia"/>
                <w:vertAlign w:val="baseline"/>
                <w:lang w:val="en-US" w:eastAsia="zh-CN"/>
              </w:rPr>
              <w:t>序号</w:t>
            </w:r>
          </w:p>
        </w:tc>
        <w:tc>
          <w:tcPr>
            <w:tcW w:w="1013" w:type="dxa"/>
            <w:vAlign w:val="center"/>
          </w:tcPr>
          <w:p w14:paraId="5C41ACFC">
            <w:pPr>
              <w:pStyle w:val="3"/>
              <w:jc w:val="center"/>
              <w:rPr>
                <w:rFonts w:hint="default" w:eastAsia="宋体"/>
                <w:vertAlign w:val="baseline"/>
                <w:lang w:val="en-US" w:eastAsia="zh-CN"/>
              </w:rPr>
            </w:pPr>
            <w:r>
              <w:rPr>
                <w:rFonts w:hint="eastAsia"/>
                <w:vertAlign w:val="baseline"/>
                <w:lang w:val="en-US" w:eastAsia="zh-CN"/>
              </w:rPr>
              <w:t>物资名称</w:t>
            </w:r>
          </w:p>
        </w:tc>
        <w:tc>
          <w:tcPr>
            <w:tcW w:w="987" w:type="dxa"/>
            <w:vAlign w:val="center"/>
          </w:tcPr>
          <w:p w14:paraId="2A47E0F9">
            <w:pPr>
              <w:pStyle w:val="3"/>
              <w:jc w:val="center"/>
              <w:rPr>
                <w:rFonts w:hint="eastAsia" w:eastAsia="宋体"/>
                <w:vertAlign w:val="baseline"/>
                <w:lang w:val="en-US" w:eastAsia="zh-CN"/>
              </w:rPr>
            </w:pPr>
            <w:r>
              <w:rPr>
                <w:rFonts w:hint="eastAsia"/>
                <w:vertAlign w:val="baseline"/>
                <w:lang w:val="en-US" w:eastAsia="zh-CN"/>
              </w:rPr>
              <w:t>计量单位</w:t>
            </w:r>
          </w:p>
        </w:tc>
        <w:tc>
          <w:tcPr>
            <w:tcW w:w="733" w:type="dxa"/>
            <w:vAlign w:val="center"/>
          </w:tcPr>
          <w:p w14:paraId="3C8EC702">
            <w:pPr>
              <w:pStyle w:val="3"/>
              <w:jc w:val="center"/>
              <w:rPr>
                <w:rFonts w:hint="default" w:eastAsia="宋体"/>
                <w:vertAlign w:val="baseline"/>
                <w:lang w:val="en-US" w:eastAsia="zh-CN"/>
              </w:rPr>
            </w:pPr>
            <w:r>
              <w:rPr>
                <w:rFonts w:hint="eastAsia"/>
                <w:vertAlign w:val="baseline"/>
                <w:lang w:val="en-US" w:eastAsia="zh-CN"/>
              </w:rPr>
              <w:t>数量</w:t>
            </w:r>
          </w:p>
        </w:tc>
        <w:tc>
          <w:tcPr>
            <w:tcW w:w="3267" w:type="dxa"/>
            <w:vAlign w:val="center"/>
          </w:tcPr>
          <w:p w14:paraId="089B4956">
            <w:pPr>
              <w:pStyle w:val="3"/>
              <w:jc w:val="center"/>
              <w:rPr>
                <w:rFonts w:hint="eastAsia" w:eastAsia="宋体"/>
                <w:vertAlign w:val="baseline"/>
                <w:lang w:val="en-US" w:eastAsia="zh-CN"/>
              </w:rPr>
            </w:pPr>
            <w:r>
              <w:rPr>
                <w:rFonts w:hint="eastAsia"/>
                <w:vertAlign w:val="baseline"/>
                <w:lang w:val="en-US" w:eastAsia="zh-CN"/>
              </w:rPr>
              <w:t>单价</w:t>
            </w:r>
          </w:p>
        </w:tc>
        <w:tc>
          <w:tcPr>
            <w:tcW w:w="2322" w:type="dxa"/>
            <w:vAlign w:val="center"/>
          </w:tcPr>
          <w:p w14:paraId="6D8A998B">
            <w:pPr>
              <w:pStyle w:val="3"/>
              <w:jc w:val="center"/>
              <w:rPr>
                <w:rFonts w:hint="eastAsia" w:eastAsia="宋体"/>
                <w:vertAlign w:val="baseline"/>
                <w:lang w:val="en-US" w:eastAsia="zh-CN"/>
              </w:rPr>
            </w:pPr>
            <w:r>
              <w:rPr>
                <w:rFonts w:hint="eastAsia"/>
                <w:vertAlign w:val="baseline"/>
                <w:lang w:val="en-US" w:eastAsia="zh-CN"/>
              </w:rPr>
              <w:t>备注</w:t>
            </w:r>
          </w:p>
        </w:tc>
      </w:tr>
      <w:tr w14:paraId="2991C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 w:hRule="atLeast"/>
          <w:jc w:val="center"/>
        </w:trPr>
        <w:tc>
          <w:tcPr>
            <w:tcW w:w="576" w:type="dxa"/>
            <w:vAlign w:val="center"/>
          </w:tcPr>
          <w:p w14:paraId="4111202E">
            <w:pPr>
              <w:pStyle w:val="3"/>
              <w:jc w:val="center"/>
              <w:rPr>
                <w:rFonts w:hint="eastAsia" w:eastAsia="宋体"/>
                <w:vertAlign w:val="baseline"/>
                <w:lang w:val="en-US" w:eastAsia="zh-CN"/>
              </w:rPr>
            </w:pPr>
            <w:r>
              <w:rPr>
                <w:rFonts w:hint="eastAsia"/>
                <w:vertAlign w:val="baseline"/>
                <w:lang w:val="en-US" w:eastAsia="zh-CN"/>
              </w:rPr>
              <w:t>1</w:t>
            </w:r>
          </w:p>
        </w:tc>
        <w:tc>
          <w:tcPr>
            <w:tcW w:w="1013" w:type="dxa"/>
            <w:vAlign w:val="center"/>
          </w:tcPr>
          <w:p w14:paraId="59571559">
            <w:pPr>
              <w:pStyle w:val="3"/>
              <w:jc w:val="center"/>
              <w:rPr>
                <w:rFonts w:hint="default" w:eastAsia="宋体"/>
                <w:vertAlign w:val="baseline"/>
                <w:lang w:val="en-US" w:eastAsia="zh-CN"/>
              </w:rPr>
            </w:pPr>
            <w:r>
              <w:rPr>
                <w:rFonts w:hint="eastAsia"/>
                <w:vertAlign w:val="baseline"/>
                <w:lang w:val="en-US" w:eastAsia="zh-CN"/>
              </w:rPr>
              <w:t>废旧铜</w:t>
            </w:r>
          </w:p>
        </w:tc>
        <w:tc>
          <w:tcPr>
            <w:tcW w:w="987" w:type="dxa"/>
            <w:vAlign w:val="center"/>
          </w:tcPr>
          <w:p w14:paraId="62A83AC3">
            <w:pPr>
              <w:pStyle w:val="3"/>
              <w:jc w:val="center"/>
              <w:rPr>
                <w:rFonts w:hint="eastAsia" w:eastAsia="宋体"/>
                <w:vertAlign w:val="baseline"/>
                <w:lang w:val="en-US" w:eastAsia="zh-CN"/>
              </w:rPr>
            </w:pPr>
            <w:r>
              <w:rPr>
                <w:rFonts w:hint="eastAsia"/>
                <w:vertAlign w:val="baseline"/>
                <w:lang w:val="en-US" w:eastAsia="zh-CN"/>
              </w:rPr>
              <w:t>吨</w:t>
            </w:r>
          </w:p>
        </w:tc>
        <w:tc>
          <w:tcPr>
            <w:tcW w:w="733" w:type="dxa"/>
            <w:vAlign w:val="center"/>
          </w:tcPr>
          <w:p w14:paraId="40612D79">
            <w:pPr>
              <w:pStyle w:val="3"/>
              <w:jc w:val="center"/>
              <w:rPr>
                <w:rFonts w:hint="default" w:eastAsia="宋体"/>
                <w:vertAlign w:val="baseline"/>
                <w:lang w:val="en-US" w:eastAsia="zh-CN"/>
              </w:rPr>
            </w:pPr>
            <w:r>
              <w:rPr>
                <w:rFonts w:hint="eastAsia"/>
                <w:vertAlign w:val="baseline"/>
                <w:lang w:val="en-US" w:eastAsia="zh-CN"/>
              </w:rPr>
              <w:t>500</w:t>
            </w:r>
          </w:p>
        </w:tc>
        <w:tc>
          <w:tcPr>
            <w:tcW w:w="3267" w:type="dxa"/>
            <w:vAlign w:val="center"/>
          </w:tcPr>
          <w:p w14:paraId="404D221F">
            <w:pPr>
              <w:pStyle w:val="3"/>
              <w:jc w:val="center"/>
              <w:rPr>
                <w:rFonts w:hint="default" w:eastAsia="宋体"/>
                <w:vertAlign w:val="baseline"/>
                <w:lang w:val="en-US" w:eastAsia="zh-CN"/>
              </w:rPr>
            </w:pPr>
            <w:r>
              <w:rPr>
                <w:rFonts w:hint="eastAsia"/>
                <w:vertAlign w:val="baseline"/>
                <w:lang w:val="en-US" w:eastAsia="zh-CN"/>
              </w:rPr>
              <w:t>长江有色1#铜价上下浮    %</w:t>
            </w:r>
          </w:p>
        </w:tc>
        <w:tc>
          <w:tcPr>
            <w:tcW w:w="2322" w:type="dxa"/>
            <w:vAlign w:val="center"/>
          </w:tcPr>
          <w:p w14:paraId="7998AE88">
            <w:pPr>
              <w:pStyle w:val="3"/>
              <w:jc w:val="center"/>
              <w:rPr>
                <w:rFonts w:hint="default" w:eastAsia="宋体"/>
                <w:vertAlign w:val="baseline"/>
                <w:lang w:val="en-US" w:eastAsia="zh-CN"/>
              </w:rPr>
            </w:pPr>
            <w:r>
              <w:rPr>
                <w:rFonts w:hint="eastAsia"/>
                <w:vertAlign w:val="baseline"/>
                <w:lang w:val="en-US" w:eastAsia="zh-CN"/>
              </w:rPr>
              <w:t>报价下浮点数即可</w:t>
            </w:r>
          </w:p>
        </w:tc>
      </w:tr>
      <w:tr w14:paraId="52493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jc w:val="center"/>
        </w:trPr>
        <w:tc>
          <w:tcPr>
            <w:tcW w:w="576" w:type="dxa"/>
            <w:vAlign w:val="center"/>
          </w:tcPr>
          <w:p w14:paraId="2FDF3EAF">
            <w:pPr>
              <w:pStyle w:val="3"/>
              <w:jc w:val="center"/>
              <w:rPr>
                <w:rFonts w:hint="eastAsia" w:eastAsia="宋体"/>
                <w:vertAlign w:val="baseline"/>
                <w:lang w:val="en-US" w:eastAsia="zh-CN"/>
              </w:rPr>
            </w:pPr>
            <w:r>
              <w:rPr>
                <w:rFonts w:hint="eastAsia"/>
                <w:vertAlign w:val="baseline"/>
                <w:lang w:val="en-US" w:eastAsia="zh-CN"/>
              </w:rPr>
              <w:t>2</w:t>
            </w:r>
          </w:p>
        </w:tc>
        <w:tc>
          <w:tcPr>
            <w:tcW w:w="1013" w:type="dxa"/>
            <w:vAlign w:val="center"/>
          </w:tcPr>
          <w:p w14:paraId="003B9B33">
            <w:pPr>
              <w:pStyle w:val="3"/>
              <w:jc w:val="center"/>
              <w:rPr>
                <w:rFonts w:hint="default" w:eastAsia="宋体"/>
                <w:vertAlign w:val="baseline"/>
                <w:lang w:val="en-US" w:eastAsia="zh-CN"/>
              </w:rPr>
            </w:pPr>
            <w:r>
              <w:rPr>
                <w:rFonts w:hint="eastAsia"/>
                <w:vertAlign w:val="baseline"/>
                <w:lang w:val="en-US" w:eastAsia="zh-CN"/>
              </w:rPr>
              <w:t>废旧铝</w:t>
            </w:r>
          </w:p>
        </w:tc>
        <w:tc>
          <w:tcPr>
            <w:tcW w:w="987" w:type="dxa"/>
            <w:vAlign w:val="center"/>
          </w:tcPr>
          <w:p w14:paraId="24E59843">
            <w:pPr>
              <w:pStyle w:val="3"/>
              <w:jc w:val="center"/>
              <w:rPr>
                <w:vertAlign w:val="baseline"/>
              </w:rPr>
            </w:pPr>
            <w:r>
              <w:rPr>
                <w:rFonts w:hint="eastAsia"/>
                <w:vertAlign w:val="baseline"/>
                <w:lang w:val="en-US" w:eastAsia="zh-CN"/>
              </w:rPr>
              <w:t>吨</w:t>
            </w:r>
          </w:p>
        </w:tc>
        <w:tc>
          <w:tcPr>
            <w:tcW w:w="733" w:type="dxa"/>
            <w:vAlign w:val="center"/>
          </w:tcPr>
          <w:p w14:paraId="704B29E8">
            <w:pPr>
              <w:pStyle w:val="3"/>
              <w:jc w:val="center"/>
              <w:rPr>
                <w:rFonts w:hint="default" w:eastAsia="宋体"/>
                <w:vertAlign w:val="baseline"/>
                <w:lang w:val="en-US" w:eastAsia="zh-CN"/>
              </w:rPr>
            </w:pPr>
            <w:r>
              <w:rPr>
                <w:rFonts w:hint="eastAsia"/>
                <w:vertAlign w:val="baseline"/>
                <w:lang w:val="en-US" w:eastAsia="zh-CN"/>
              </w:rPr>
              <w:t>300</w:t>
            </w:r>
          </w:p>
        </w:tc>
        <w:tc>
          <w:tcPr>
            <w:tcW w:w="3267" w:type="dxa"/>
            <w:vAlign w:val="center"/>
          </w:tcPr>
          <w:p w14:paraId="6D5FCD24">
            <w:pPr>
              <w:pStyle w:val="3"/>
              <w:jc w:val="center"/>
              <w:rPr>
                <w:rFonts w:hint="default"/>
                <w:vertAlign w:val="baseline"/>
                <w:lang w:val="en-US"/>
              </w:rPr>
            </w:pPr>
            <w:r>
              <w:rPr>
                <w:rFonts w:hint="eastAsia"/>
                <w:vertAlign w:val="baseline"/>
                <w:lang w:val="en-US" w:eastAsia="zh-CN"/>
              </w:rPr>
              <w:t>长江有色A00铝价上下浮   %</w:t>
            </w:r>
          </w:p>
        </w:tc>
        <w:tc>
          <w:tcPr>
            <w:tcW w:w="2322" w:type="dxa"/>
            <w:shd w:val="clear" w:color="auto" w:fill="auto"/>
            <w:vAlign w:val="center"/>
          </w:tcPr>
          <w:p w14:paraId="43249AB7">
            <w:pPr>
              <w:pStyle w:val="3"/>
              <w:jc w:val="center"/>
              <w:rPr>
                <w:rFonts w:hint="default" w:ascii="Calibri" w:hAnsi="Calibri" w:eastAsia="宋体" w:cs="Times New Roman"/>
                <w:kern w:val="2"/>
                <w:sz w:val="18"/>
                <w:szCs w:val="18"/>
                <w:vertAlign w:val="baseline"/>
                <w:lang w:val="en-US" w:eastAsia="zh-CN" w:bidi="ar-SA"/>
              </w:rPr>
            </w:pPr>
            <w:r>
              <w:rPr>
                <w:rFonts w:hint="eastAsia"/>
                <w:vertAlign w:val="baseline"/>
                <w:lang w:val="en-US" w:eastAsia="zh-CN"/>
              </w:rPr>
              <w:t>报价下浮点数即可</w:t>
            </w:r>
          </w:p>
        </w:tc>
      </w:tr>
    </w:tbl>
    <w:p w14:paraId="62D8DBA7">
      <w:pPr>
        <w:pStyle w:val="3"/>
        <w:rPr>
          <w:rFonts w:hint="eastAsia" w:ascii="MiSans Light" w:hAnsi="MiSans Light" w:eastAsia="宋体" w:cs="Times New Roman"/>
          <w:kern w:val="2"/>
          <w:sz w:val="21"/>
          <w:szCs w:val="21"/>
          <w:lang w:val="en-US" w:eastAsia="zh-CN" w:bidi="ar-SA"/>
        </w:rPr>
      </w:pPr>
      <w:r>
        <w:rPr>
          <w:rFonts w:hint="eastAsia" w:ascii="MiSans Light" w:hAnsi="MiSans Light" w:eastAsia="MiSans Light" w:cs="Times New Roman"/>
          <w:kern w:val="2"/>
          <w:sz w:val="21"/>
          <w:szCs w:val="21"/>
          <w:lang w:val="en-US" w:eastAsia="zh-CN" w:bidi="ar-SA"/>
        </w:rPr>
        <w:t>价格按照“长江有色网”（网址：https://www.ccmn.cn/）网价均价</w:t>
      </w:r>
      <w:r>
        <w:rPr>
          <w:rFonts w:hint="eastAsia"/>
          <w:vertAlign w:val="baseline"/>
          <w:lang w:val="en-US" w:eastAsia="zh-CN"/>
        </w:rPr>
        <w:t>上下</w:t>
      </w:r>
      <w:r>
        <w:rPr>
          <w:rFonts w:hint="eastAsia" w:ascii="MiSans Light" w:hAnsi="MiSans Light" w:eastAsia="MiSans Light" w:cs="Times New Roman"/>
          <w:kern w:val="2"/>
          <w:sz w:val="21"/>
          <w:szCs w:val="21"/>
          <w:lang w:val="en-US" w:eastAsia="zh-CN" w:bidi="ar-SA"/>
        </w:rPr>
        <w:t>浮结算。</w:t>
      </w:r>
      <w:r>
        <w:t>报价包含物资采购费、清运费、拆解费、环保处置费、税费等全部费用，招标方不额外支付任何费用</w:t>
      </w:r>
      <w:r>
        <w:rPr>
          <w:rFonts w:hint="eastAsia"/>
          <w:lang w:eastAsia="zh-CN"/>
        </w:rPr>
        <w:t>。</w:t>
      </w:r>
    </w:p>
    <w:p w14:paraId="48623598">
      <w:pPr>
        <w:pStyle w:val="3"/>
        <w:rPr>
          <w:rFonts w:hint="default" w:ascii="MiSans Light" w:hAnsi="MiSans Light" w:eastAsia="MiSans Light" w:cs="Times New Roman"/>
          <w:kern w:val="2"/>
          <w:sz w:val="21"/>
          <w:szCs w:val="21"/>
          <w:lang w:val="en-US" w:eastAsia="zh-CN" w:bidi="ar-SA"/>
        </w:rPr>
      </w:pPr>
    </w:p>
    <w:p w14:paraId="7E0E8F08">
      <w:pPr>
        <w:snapToGrid w:val="0"/>
        <w:jc w:val="right"/>
        <w:rPr>
          <w:rFonts w:hint="eastAsia" w:ascii="MiSans Light" w:hAnsi="MiSans Light" w:eastAsia="MiSans Light"/>
          <w:szCs w:val="21"/>
        </w:rPr>
      </w:pPr>
    </w:p>
    <w:p w14:paraId="0C7DE2B7">
      <w:pPr>
        <w:snapToGrid w:val="0"/>
        <w:jc w:val="right"/>
        <w:rPr>
          <w:rFonts w:hint="eastAsia" w:ascii="MiSans Light" w:hAnsi="MiSans Light" w:eastAsia="MiSans Light"/>
          <w:szCs w:val="21"/>
        </w:rPr>
      </w:pPr>
    </w:p>
    <w:p w14:paraId="09195BC7">
      <w:pPr>
        <w:snapToGrid w:val="0"/>
        <w:jc w:val="right"/>
        <w:rPr>
          <w:rFonts w:ascii="MiSans Light" w:hAnsi="MiSans Light" w:eastAsia="MiSans Light"/>
          <w:szCs w:val="21"/>
        </w:rPr>
      </w:pPr>
      <w:r>
        <w:rPr>
          <w:rFonts w:hint="eastAsia" w:ascii="MiSans Light" w:hAnsi="MiSans Light" w:eastAsia="MiSans Light"/>
          <w:szCs w:val="21"/>
        </w:rPr>
        <w:t>投标人</w:t>
      </w:r>
      <w:r>
        <w:rPr>
          <w:rFonts w:ascii="MiSans Light" w:hAnsi="MiSans Light" w:eastAsia="MiSans Light"/>
          <w:szCs w:val="21"/>
        </w:rPr>
        <w:t>（签字</w:t>
      </w:r>
      <w:r>
        <w:rPr>
          <w:rFonts w:hint="eastAsia" w:ascii="MiSans Light" w:hAnsi="MiSans Light" w:eastAsia="MiSans Light"/>
          <w:szCs w:val="21"/>
        </w:rPr>
        <w:t>或盖章</w:t>
      </w:r>
      <w:r>
        <w:rPr>
          <w:rFonts w:ascii="MiSans Light" w:hAnsi="MiSans Light" w:eastAsia="MiSans Light"/>
          <w:szCs w:val="21"/>
        </w:rPr>
        <w:t>）</w:t>
      </w:r>
    </w:p>
    <w:p w14:paraId="77D192DE">
      <w:pPr>
        <w:snapToGrid w:val="0"/>
        <w:rPr>
          <w:rFonts w:ascii="MiSans Light" w:hAnsi="MiSans Light" w:eastAsia="MiSans Light"/>
          <w:szCs w:val="21"/>
        </w:rPr>
      </w:pPr>
    </w:p>
    <w:p w14:paraId="5F41473A">
      <w:pPr>
        <w:snapToGrid w:val="0"/>
        <w:jc w:val="right"/>
        <w:rPr>
          <w:rFonts w:ascii="MiSans Light" w:hAnsi="MiSans Light" w:eastAsia="MiSans Light"/>
          <w:szCs w:val="21"/>
        </w:rPr>
      </w:pPr>
      <w:r>
        <w:rPr>
          <w:rFonts w:hint="eastAsia" w:ascii="MiSans Light" w:hAnsi="MiSans Light" w:eastAsia="MiSans Light"/>
          <w:szCs w:val="21"/>
          <w:lang w:val="en-US" w:eastAsia="zh-CN"/>
        </w:rPr>
        <w:t xml:space="preserve">  </w:t>
      </w:r>
      <w:r>
        <w:rPr>
          <w:rFonts w:hint="eastAsia" w:ascii="MiSans Light" w:hAnsi="MiSans Light" w:eastAsia="MiSans Light"/>
          <w:szCs w:val="21"/>
          <w:u w:val="single"/>
          <w:lang w:val="en-US" w:eastAsia="zh-CN"/>
        </w:rPr>
        <w:t xml:space="preserve">       </w:t>
      </w:r>
      <w:r>
        <w:rPr>
          <w:rFonts w:ascii="MiSans Light" w:hAnsi="MiSans Light" w:eastAsia="MiSans Light"/>
          <w:szCs w:val="21"/>
        </w:rPr>
        <w:t>年</w:t>
      </w:r>
      <w:r>
        <w:rPr>
          <w:rFonts w:hint="eastAsia" w:ascii="MiSans Light" w:hAnsi="MiSans Light" w:eastAsia="MiSans Light"/>
          <w:szCs w:val="21"/>
          <w:lang w:val="en-US" w:eastAsia="zh-CN"/>
        </w:rPr>
        <w:t xml:space="preserve"> </w:t>
      </w:r>
      <w:r>
        <w:rPr>
          <w:rFonts w:hint="eastAsia" w:ascii="MiSans Light" w:hAnsi="MiSans Light" w:eastAsia="MiSans Light"/>
          <w:szCs w:val="21"/>
          <w:u w:val="single"/>
          <w:lang w:val="en-US" w:eastAsia="zh-CN"/>
        </w:rPr>
        <w:t xml:space="preserve">    </w:t>
      </w:r>
      <w:r>
        <w:rPr>
          <w:rFonts w:ascii="MiSans Light" w:hAnsi="MiSans Light" w:eastAsia="MiSans Light"/>
          <w:szCs w:val="21"/>
        </w:rPr>
        <w:t>月</w:t>
      </w:r>
      <w:r>
        <w:rPr>
          <w:rFonts w:hint="eastAsia" w:ascii="MiSans Light" w:hAnsi="MiSans Light" w:eastAsia="MiSans Light"/>
          <w:szCs w:val="21"/>
          <w:u w:val="single"/>
          <w:lang w:val="en-US" w:eastAsia="zh-CN"/>
        </w:rPr>
        <w:t xml:space="preserve">   </w:t>
      </w:r>
      <w:r>
        <w:rPr>
          <w:rFonts w:ascii="MiSans Light" w:hAnsi="MiSans Light" w:eastAsia="MiSans Light"/>
          <w:szCs w:val="21"/>
        </w:rPr>
        <w:t>日</w:t>
      </w:r>
    </w:p>
    <w:p w14:paraId="7254A450">
      <w:pPr>
        <w:snapToGrid w:val="0"/>
        <w:jc w:val="right"/>
        <w:rPr>
          <w:rFonts w:ascii="MiSans Light" w:hAnsi="MiSans Light" w:eastAsia="MiSans Light"/>
          <w:szCs w:val="21"/>
        </w:rPr>
      </w:pPr>
    </w:p>
    <w:p w14:paraId="353DCC21">
      <w:pPr>
        <w:pStyle w:val="2"/>
        <w:snapToGrid w:val="0"/>
        <w:spacing w:before="0" w:after="0" w:line="240" w:lineRule="auto"/>
        <w:rPr>
          <w:rFonts w:ascii="MiSans Light" w:hAnsi="MiSans Light" w:eastAsia="MiSans Light"/>
        </w:rPr>
      </w:pPr>
    </w:p>
    <w:p w14:paraId="049665BF">
      <w:pPr>
        <w:pStyle w:val="2"/>
        <w:snapToGrid w:val="0"/>
        <w:spacing w:before="0" w:after="0" w:line="240" w:lineRule="auto"/>
        <w:rPr>
          <w:rFonts w:ascii="MiSans Light" w:hAnsi="MiSans Light" w:eastAsia="MiSans Light"/>
        </w:rPr>
      </w:pPr>
    </w:p>
    <w:p w14:paraId="24FB2D55">
      <w:pPr>
        <w:pStyle w:val="2"/>
        <w:snapToGrid w:val="0"/>
        <w:spacing w:before="0" w:after="0" w:line="240" w:lineRule="auto"/>
        <w:rPr>
          <w:rFonts w:ascii="MiSans Light" w:hAnsi="MiSans Light" w:eastAsia="MiSans Light"/>
        </w:rPr>
      </w:pPr>
    </w:p>
    <w:p w14:paraId="641CAD89">
      <w:pPr>
        <w:pStyle w:val="2"/>
        <w:snapToGrid w:val="0"/>
        <w:spacing w:before="0" w:after="0" w:line="240" w:lineRule="auto"/>
        <w:rPr>
          <w:rFonts w:ascii="MiSans Light" w:hAnsi="MiSans Light" w:eastAsia="MiSans Light"/>
        </w:rPr>
      </w:pPr>
    </w:p>
    <w:p w14:paraId="304EDAEE">
      <w:pPr>
        <w:pStyle w:val="2"/>
        <w:snapToGrid w:val="0"/>
        <w:spacing w:before="0" w:after="0" w:line="240" w:lineRule="auto"/>
        <w:rPr>
          <w:rFonts w:ascii="MiSans Light" w:hAnsi="MiSans Light" w:eastAsia="MiSans Light"/>
        </w:rPr>
      </w:pPr>
    </w:p>
    <w:p w14:paraId="4E98A1AB">
      <w:pPr>
        <w:pStyle w:val="2"/>
        <w:snapToGrid w:val="0"/>
        <w:spacing w:before="0" w:after="0" w:line="240" w:lineRule="auto"/>
        <w:rPr>
          <w:rFonts w:ascii="MiSans Light" w:hAnsi="MiSans Light" w:eastAsia="MiSans Light"/>
        </w:rPr>
      </w:pPr>
    </w:p>
    <w:p w14:paraId="5F013A38">
      <w:pPr>
        <w:pStyle w:val="2"/>
        <w:snapToGrid w:val="0"/>
        <w:spacing w:before="0" w:after="0" w:line="240" w:lineRule="auto"/>
        <w:rPr>
          <w:rFonts w:ascii="MiSans Light" w:hAnsi="MiSans Light" w:eastAsia="MiSans Light"/>
        </w:rPr>
      </w:pPr>
    </w:p>
    <w:p w14:paraId="5578CA0A">
      <w:pPr>
        <w:pStyle w:val="2"/>
        <w:snapToGrid w:val="0"/>
        <w:spacing w:before="0" w:after="0" w:line="240" w:lineRule="auto"/>
        <w:rPr>
          <w:rFonts w:ascii="MiSans Light" w:hAnsi="MiSans Light" w:eastAsia="MiSans Light"/>
        </w:rPr>
      </w:pPr>
    </w:p>
    <w:p w14:paraId="7910D2BE">
      <w:pPr>
        <w:pStyle w:val="2"/>
        <w:snapToGrid w:val="0"/>
        <w:spacing w:before="0" w:after="0" w:line="240" w:lineRule="auto"/>
        <w:rPr>
          <w:rFonts w:ascii="MiSans Light" w:hAnsi="MiSans Light" w:eastAsia="MiSans Light"/>
        </w:rPr>
      </w:pPr>
    </w:p>
    <w:p w14:paraId="0A2C7F34">
      <w:pPr>
        <w:pStyle w:val="2"/>
        <w:snapToGrid w:val="0"/>
        <w:spacing w:before="0" w:after="0" w:line="240" w:lineRule="auto"/>
        <w:rPr>
          <w:rFonts w:ascii="MiSans Light" w:hAnsi="MiSans Light" w:eastAsia="MiSans Light"/>
        </w:rPr>
      </w:pPr>
    </w:p>
    <w:p w14:paraId="716B71CB">
      <w:pPr>
        <w:pStyle w:val="2"/>
        <w:snapToGrid w:val="0"/>
        <w:spacing w:before="0" w:after="0" w:line="240" w:lineRule="auto"/>
        <w:rPr>
          <w:rFonts w:ascii="MiSans Light" w:hAnsi="MiSans Light" w:eastAsia="MiSans Light"/>
        </w:rPr>
      </w:pPr>
    </w:p>
    <w:p w14:paraId="010DE2DC">
      <w:pPr>
        <w:pStyle w:val="2"/>
        <w:snapToGrid w:val="0"/>
        <w:spacing w:before="0" w:after="0" w:line="240" w:lineRule="auto"/>
        <w:rPr>
          <w:rFonts w:ascii="MiSans Light" w:hAnsi="MiSans Light" w:eastAsia="MiSans Light"/>
        </w:rPr>
      </w:pPr>
    </w:p>
    <w:p w14:paraId="19C2F50E">
      <w:pPr>
        <w:pStyle w:val="2"/>
        <w:snapToGrid w:val="0"/>
        <w:spacing w:before="0" w:after="0" w:line="240" w:lineRule="auto"/>
        <w:rPr>
          <w:rFonts w:ascii="MiSans Light" w:hAnsi="MiSans Light" w:eastAsia="MiSans Light"/>
        </w:rPr>
      </w:pPr>
    </w:p>
    <w:p w14:paraId="391798E0">
      <w:pPr>
        <w:pStyle w:val="2"/>
        <w:snapToGrid w:val="0"/>
        <w:spacing w:before="0" w:after="0" w:line="240" w:lineRule="auto"/>
        <w:rPr>
          <w:rFonts w:ascii="MiSans Light" w:hAnsi="MiSans Light" w:eastAsia="MiSans Light"/>
        </w:rPr>
      </w:pPr>
    </w:p>
    <w:p w14:paraId="6663E28E">
      <w:pPr>
        <w:pStyle w:val="2"/>
        <w:snapToGrid w:val="0"/>
        <w:spacing w:before="0" w:after="0" w:line="240" w:lineRule="auto"/>
        <w:rPr>
          <w:rFonts w:ascii="MiSans Light" w:hAnsi="MiSans Light" w:eastAsia="MiSans Light"/>
        </w:rPr>
      </w:pPr>
    </w:p>
    <w:p w14:paraId="496F3487">
      <w:pPr>
        <w:pStyle w:val="2"/>
        <w:snapToGrid w:val="0"/>
        <w:spacing w:before="0" w:after="0" w:line="240" w:lineRule="auto"/>
        <w:rPr>
          <w:rFonts w:ascii="MiSans Light" w:hAnsi="MiSans Light" w:eastAsia="MiSans Light"/>
        </w:rPr>
      </w:pPr>
    </w:p>
    <w:p w14:paraId="2FDF93A3">
      <w:pPr>
        <w:pStyle w:val="2"/>
        <w:snapToGrid w:val="0"/>
        <w:spacing w:before="0" w:after="0" w:line="240" w:lineRule="auto"/>
        <w:rPr>
          <w:rFonts w:ascii="MiSans Light" w:hAnsi="MiSans Light" w:eastAsia="MiSans Light"/>
        </w:rPr>
      </w:pPr>
    </w:p>
    <w:p w14:paraId="66A67732">
      <w:pPr>
        <w:snapToGrid w:val="0"/>
        <w:jc w:val="center"/>
        <w:rPr>
          <w:rFonts w:ascii="MiSans Light" w:hAnsi="MiSans Light" w:eastAsia="MiSans Light"/>
          <w:sz w:val="28"/>
          <w:szCs w:val="28"/>
        </w:rPr>
      </w:pPr>
    </w:p>
    <w:p w14:paraId="6479D750">
      <w:pPr>
        <w:snapToGrid w:val="0"/>
        <w:jc w:val="left"/>
        <w:rPr>
          <w:rFonts w:ascii="MiSans Light" w:hAnsi="MiSans Light" w:eastAsia="MiSans Light"/>
          <w:szCs w:val="21"/>
        </w:rPr>
      </w:pPr>
      <w:r>
        <w:rPr>
          <w:rFonts w:ascii="MiSans Light" w:hAnsi="MiSans Light" w:eastAsia="MiSans Light"/>
          <w:szCs w:val="21"/>
        </w:rPr>
        <w:t xml:space="preserve">   </w:t>
      </w:r>
    </w:p>
    <w:p w14:paraId="4D27D023">
      <w:pPr>
        <w:pStyle w:val="2"/>
        <w:snapToGrid w:val="0"/>
        <w:spacing w:line="240" w:lineRule="auto"/>
        <w:rPr>
          <w:rFonts w:ascii="MiSans Light" w:hAnsi="MiSans Light" w:eastAsia="MiSans Light"/>
        </w:rPr>
      </w:pPr>
      <w:r>
        <w:rPr>
          <w:rFonts w:ascii="MiSans Light" w:hAnsi="MiSans Light" w:eastAsia="MiSans Light"/>
        </w:rPr>
        <w:t>附</w:t>
      </w:r>
      <w:r>
        <w:rPr>
          <w:rFonts w:hint="eastAsia" w:ascii="MiSans Light" w:hAnsi="MiSans Light" w:eastAsia="MiSans Light"/>
        </w:rPr>
        <w:t>件2</w:t>
      </w:r>
      <w:r>
        <w:rPr>
          <w:rFonts w:ascii="MiSans Light" w:hAnsi="MiSans Light" w:eastAsia="MiSans Light"/>
        </w:rPr>
        <w:t>：问题澄清通知</w:t>
      </w:r>
    </w:p>
    <w:p w14:paraId="08C6AA01">
      <w:pPr>
        <w:snapToGrid w:val="0"/>
        <w:jc w:val="left"/>
        <w:rPr>
          <w:rFonts w:ascii="MiSans Light" w:hAnsi="MiSans Light" w:eastAsia="MiSans Light"/>
          <w:szCs w:val="21"/>
        </w:rPr>
      </w:pPr>
      <w:r>
        <w:rPr>
          <w:rFonts w:hint="eastAsia" w:ascii="MiSans Light" w:hAnsi="MiSans Light" w:eastAsia="MiSans Light"/>
          <w:szCs w:val="21"/>
        </w:rPr>
        <w:t>福建科达新能源科技有限公司</w:t>
      </w:r>
      <w:r>
        <w:rPr>
          <w:rFonts w:ascii="MiSans Light" w:hAnsi="MiSans Light" w:eastAsia="MiSans Light"/>
          <w:szCs w:val="21"/>
        </w:rPr>
        <w:t>：</w:t>
      </w:r>
    </w:p>
    <w:p w14:paraId="59591032">
      <w:pPr>
        <w:snapToGrid w:val="0"/>
        <w:rPr>
          <w:rFonts w:ascii="MiSans Light" w:hAnsi="MiSans Light" w:eastAsia="MiSans Light"/>
          <w:szCs w:val="21"/>
        </w:rPr>
      </w:pPr>
    </w:p>
    <w:p w14:paraId="45C96F71">
      <w:pPr>
        <w:snapToGrid w:val="0"/>
        <w:rPr>
          <w:rFonts w:ascii="MiSans Light" w:hAnsi="MiSans Light" w:eastAsia="MiSans Light"/>
          <w:szCs w:val="21"/>
        </w:rPr>
      </w:pPr>
      <w:r>
        <w:rPr>
          <w:rFonts w:ascii="MiSans Light" w:hAnsi="MiSans Light" w:eastAsia="MiSans Light"/>
          <w:szCs w:val="21"/>
        </w:rPr>
        <w:t xml:space="preserve">　　 </w:t>
      </w:r>
      <w:r>
        <w:rPr>
          <w:rFonts w:ascii="MiSans Light" w:hAnsi="MiSans Light" w:eastAsia="MiSans Light"/>
          <w:szCs w:val="21"/>
          <w:u w:val="single"/>
        </w:rPr>
        <w:t xml:space="preserve"> </w:t>
      </w:r>
      <w:r>
        <w:rPr>
          <w:rFonts w:hint="eastAsia" w:ascii="MiSans Light" w:hAnsi="MiSans Light" w:eastAsia="MiSans Light"/>
          <w:szCs w:val="21"/>
          <w:u w:val="single"/>
        </w:rPr>
        <w:t>福建科达新能源科技有限公司</w:t>
      </w:r>
      <w:r>
        <w:rPr>
          <w:rFonts w:hint="eastAsia" w:ascii="MiSans Light" w:hAnsi="MiSans Light" w:eastAsia="MiSans Light"/>
          <w:szCs w:val="21"/>
          <w:lang w:val="en-US" w:eastAsia="zh-CN"/>
        </w:rPr>
        <w:t>铜铝废旧物资售卖</w:t>
      </w:r>
      <w:r>
        <w:rPr>
          <w:rFonts w:hint="eastAsia" w:ascii="MiSans Light" w:hAnsi="MiSans Light" w:eastAsia="MiSans Light"/>
          <w:szCs w:val="21"/>
          <w:u w:val="single"/>
          <w:lang w:val="en-US" w:eastAsia="zh-CN"/>
        </w:rPr>
        <w:t>项目</w:t>
      </w:r>
      <w:r>
        <w:rPr>
          <w:rFonts w:ascii="MiSans Light" w:hAnsi="MiSans Light" w:eastAsia="MiSans Light"/>
          <w:szCs w:val="21"/>
          <w:u w:val="single"/>
        </w:rPr>
        <w:t>招标</w:t>
      </w:r>
      <w:r>
        <w:rPr>
          <w:rFonts w:ascii="MiSans Light" w:hAnsi="MiSans Light" w:eastAsia="MiSans Light"/>
          <w:szCs w:val="21"/>
        </w:rPr>
        <w:t>的评标委员会，对你方的投标文件进行了仔细的审查，现需你方对下列问题以书面形式予以澄清：</w:t>
      </w:r>
    </w:p>
    <w:p w14:paraId="1AA9E237">
      <w:pPr>
        <w:snapToGrid w:val="0"/>
        <w:rPr>
          <w:rFonts w:ascii="MiSans Light" w:hAnsi="MiSans Light" w:eastAsia="MiSans Light"/>
          <w:szCs w:val="21"/>
        </w:rPr>
      </w:pPr>
      <w:r>
        <w:rPr>
          <w:rFonts w:ascii="MiSans Light" w:hAnsi="MiSans Light" w:eastAsia="MiSans Light"/>
          <w:szCs w:val="21"/>
        </w:rPr>
        <w:t>　　</w:t>
      </w:r>
    </w:p>
    <w:p w14:paraId="532F6C01">
      <w:pPr>
        <w:snapToGrid w:val="0"/>
        <w:rPr>
          <w:rFonts w:ascii="MiSans Light" w:hAnsi="MiSans Light" w:eastAsia="MiSans Light"/>
          <w:szCs w:val="21"/>
        </w:rPr>
      </w:pPr>
      <w:r>
        <w:rPr>
          <w:rFonts w:ascii="MiSans Light" w:hAnsi="MiSans Light" w:eastAsia="MiSans Light"/>
          <w:szCs w:val="21"/>
        </w:rPr>
        <w:t xml:space="preserve">    1.</w:t>
      </w:r>
    </w:p>
    <w:p w14:paraId="240A823C">
      <w:pPr>
        <w:snapToGrid w:val="0"/>
        <w:rPr>
          <w:rFonts w:ascii="MiSans Light" w:hAnsi="MiSans Light" w:eastAsia="MiSans Light"/>
          <w:szCs w:val="21"/>
        </w:rPr>
      </w:pPr>
      <w:r>
        <w:rPr>
          <w:rFonts w:ascii="MiSans Light" w:hAnsi="MiSans Light" w:eastAsia="MiSans Light"/>
          <w:szCs w:val="21"/>
        </w:rPr>
        <w:t xml:space="preserve">    2.</w:t>
      </w:r>
    </w:p>
    <w:p w14:paraId="06D175B2">
      <w:pPr>
        <w:snapToGrid w:val="0"/>
        <w:rPr>
          <w:rFonts w:ascii="MiSans Light" w:hAnsi="MiSans Light" w:eastAsia="MiSans Light"/>
          <w:szCs w:val="21"/>
        </w:rPr>
      </w:pPr>
      <w:r>
        <w:rPr>
          <w:rFonts w:ascii="MiSans Light" w:hAnsi="MiSans Light" w:eastAsia="MiSans Light"/>
          <w:szCs w:val="21"/>
        </w:rPr>
        <w:t xml:space="preserve">     ......   </w:t>
      </w:r>
    </w:p>
    <w:p w14:paraId="1AD80F72">
      <w:pPr>
        <w:snapToGrid w:val="0"/>
        <w:rPr>
          <w:rFonts w:ascii="MiSans Light" w:hAnsi="MiSans Light" w:eastAsia="MiSans Light"/>
          <w:szCs w:val="21"/>
        </w:rPr>
      </w:pPr>
      <w:r>
        <w:rPr>
          <w:rFonts w:ascii="MiSans Light" w:hAnsi="MiSans Light" w:eastAsia="MiSans Light"/>
          <w:szCs w:val="21"/>
        </w:rPr>
        <w:t>　　　</w:t>
      </w:r>
    </w:p>
    <w:p w14:paraId="49A77186">
      <w:pPr>
        <w:snapToGrid w:val="0"/>
        <w:rPr>
          <w:rFonts w:ascii="MiSans Light" w:hAnsi="MiSans Light" w:eastAsia="MiSans Light"/>
          <w:szCs w:val="21"/>
        </w:rPr>
      </w:pPr>
    </w:p>
    <w:p w14:paraId="05EB0335">
      <w:pPr>
        <w:snapToGrid w:val="0"/>
        <w:jc w:val="right"/>
        <w:rPr>
          <w:rFonts w:ascii="MiSans Light" w:hAnsi="MiSans Light" w:eastAsia="MiSans Light"/>
          <w:szCs w:val="21"/>
        </w:rPr>
      </w:pPr>
      <w:r>
        <w:rPr>
          <w:rFonts w:ascii="MiSans Light" w:hAnsi="MiSans Light" w:eastAsia="MiSans Light"/>
          <w:szCs w:val="21"/>
        </w:rPr>
        <w:t xml:space="preserve">                             </w:t>
      </w:r>
      <w:r>
        <w:rPr>
          <w:rFonts w:hint="eastAsia" w:ascii="MiSans Light" w:hAnsi="MiSans Light" w:eastAsia="MiSans Light"/>
          <w:szCs w:val="21"/>
        </w:rPr>
        <w:t>投标人</w:t>
      </w:r>
      <w:r>
        <w:rPr>
          <w:rFonts w:ascii="MiSans Light" w:hAnsi="MiSans Light" w:eastAsia="MiSans Light"/>
          <w:szCs w:val="21"/>
        </w:rPr>
        <w:t>（签字</w:t>
      </w:r>
      <w:r>
        <w:rPr>
          <w:rFonts w:hint="eastAsia" w:ascii="MiSans Light" w:hAnsi="MiSans Light" w:eastAsia="MiSans Light"/>
          <w:szCs w:val="21"/>
        </w:rPr>
        <w:t>或盖章</w:t>
      </w:r>
      <w:r>
        <w:rPr>
          <w:rFonts w:ascii="MiSans Light" w:hAnsi="MiSans Light" w:eastAsia="MiSans Light"/>
          <w:szCs w:val="21"/>
        </w:rPr>
        <w:t>）</w:t>
      </w:r>
    </w:p>
    <w:p w14:paraId="6B370CDF">
      <w:pPr>
        <w:snapToGrid w:val="0"/>
        <w:rPr>
          <w:rFonts w:ascii="MiSans Light" w:hAnsi="MiSans Light" w:eastAsia="MiSans Light"/>
          <w:szCs w:val="21"/>
        </w:rPr>
      </w:pPr>
    </w:p>
    <w:p w14:paraId="6C64C900">
      <w:pPr>
        <w:snapToGrid w:val="0"/>
        <w:jc w:val="right"/>
        <w:rPr>
          <w:rFonts w:ascii="MiSans Light" w:hAnsi="MiSans Light" w:eastAsia="MiSans Light"/>
          <w:szCs w:val="21"/>
        </w:rPr>
      </w:pPr>
      <w:r>
        <w:rPr>
          <w:rFonts w:ascii="MiSans Light" w:hAnsi="MiSans Light" w:eastAsia="MiSans Light"/>
          <w:szCs w:val="21"/>
        </w:rPr>
        <w:t>年月日</w:t>
      </w:r>
    </w:p>
    <w:p w14:paraId="253B92F9">
      <w:pPr>
        <w:pStyle w:val="3"/>
      </w:pPr>
    </w:p>
    <w:p w14:paraId="2311DBD4">
      <w:pPr>
        <w:pStyle w:val="3"/>
      </w:pPr>
    </w:p>
    <w:p w14:paraId="64E37FB3">
      <w:pPr>
        <w:pStyle w:val="3"/>
      </w:pPr>
    </w:p>
    <w:p w14:paraId="7660A213">
      <w:pPr>
        <w:jc w:val="left"/>
        <w:rPr>
          <w:rFonts w:hint="eastAsia" w:ascii="MiSans Light" w:hAnsi="MiSans Light" w:eastAsia="MiSans Light"/>
          <w:b/>
          <w:bCs/>
          <w:sz w:val="32"/>
          <w:szCs w:val="32"/>
        </w:rPr>
      </w:pPr>
      <w:bookmarkStart w:id="4" w:name="_Toc144974550"/>
      <w:bookmarkStart w:id="5" w:name="_Toc247514007"/>
      <w:bookmarkStart w:id="6" w:name="_Toc13707"/>
      <w:bookmarkStart w:id="7" w:name="_Toc88834959"/>
      <w:bookmarkStart w:id="8" w:name="_Toc247527608"/>
      <w:bookmarkStart w:id="9" w:name="_Toc152042360"/>
      <w:bookmarkStart w:id="10" w:name="_Toc152045583"/>
    </w:p>
    <w:p w14:paraId="0EFC15A3">
      <w:pPr>
        <w:jc w:val="left"/>
        <w:rPr>
          <w:rFonts w:hint="eastAsia" w:ascii="MiSans Light" w:hAnsi="MiSans Light" w:eastAsia="MiSans Light"/>
          <w:b/>
          <w:bCs/>
          <w:sz w:val="32"/>
          <w:szCs w:val="32"/>
        </w:rPr>
      </w:pPr>
    </w:p>
    <w:p w14:paraId="1BA386AE">
      <w:pPr>
        <w:jc w:val="left"/>
        <w:rPr>
          <w:rFonts w:hint="eastAsia" w:ascii="MiSans Light" w:hAnsi="MiSans Light" w:eastAsia="MiSans Light"/>
          <w:b/>
          <w:bCs/>
          <w:sz w:val="32"/>
          <w:szCs w:val="32"/>
        </w:rPr>
      </w:pPr>
    </w:p>
    <w:p w14:paraId="21EB2C97">
      <w:pPr>
        <w:jc w:val="left"/>
        <w:rPr>
          <w:rFonts w:hint="eastAsia" w:ascii="MiSans Light" w:hAnsi="MiSans Light" w:eastAsia="MiSans Light"/>
          <w:b/>
          <w:bCs/>
          <w:sz w:val="32"/>
          <w:szCs w:val="32"/>
        </w:rPr>
      </w:pPr>
    </w:p>
    <w:p w14:paraId="6B667BCA">
      <w:pPr>
        <w:jc w:val="left"/>
        <w:rPr>
          <w:rFonts w:hint="eastAsia" w:ascii="MiSans Light" w:hAnsi="MiSans Light" w:eastAsia="MiSans Light"/>
          <w:b/>
          <w:bCs/>
          <w:sz w:val="32"/>
          <w:szCs w:val="32"/>
        </w:rPr>
      </w:pPr>
    </w:p>
    <w:p w14:paraId="32279722">
      <w:pPr>
        <w:jc w:val="left"/>
        <w:rPr>
          <w:rFonts w:hint="eastAsia" w:ascii="MiSans Light" w:hAnsi="MiSans Light" w:eastAsia="MiSans Light"/>
          <w:b/>
          <w:bCs/>
          <w:sz w:val="32"/>
          <w:szCs w:val="32"/>
        </w:rPr>
      </w:pPr>
    </w:p>
    <w:p w14:paraId="785B904E">
      <w:pPr>
        <w:jc w:val="left"/>
        <w:rPr>
          <w:rFonts w:hint="eastAsia" w:ascii="MiSans Light" w:hAnsi="MiSans Light" w:eastAsia="MiSans Light"/>
          <w:b/>
          <w:bCs/>
          <w:sz w:val="32"/>
          <w:szCs w:val="32"/>
        </w:rPr>
      </w:pPr>
    </w:p>
    <w:p w14:paraId="433D99E4">
      <w:pPr>
        <w:jc w:val="left"/>
        <w:rPr>
          <w:rFonts w:hint="eastAsia" w:ascii="MiSans Light" w:hAnsi="MiSans Light" w:eastAsia="MiSans Light"/>
          <w:b/>
          <w:bCs/>
          <w:sz w:val="32"/>
          <w:szCs w:val="32"/>
        </w:rPr>
      </w:pPr>
    </w:p>
    <w:p w14:paraId="045A8A6A">
      <w:pPr>
        <w:jc w:val="left"/>
        <w:rPr>
          <w:rFonts w:hint="eastAsia" w:ascii="MiSans Light" w:hAnsi="MiSans Light" w:eastAsia="MiSans Light"/>
          <w:b/>
          <w:bCs/>
          <w:sz w:val="32"/>
          <w:szCs w:val="32"/>
        </w:rPr>
      </w:pPr>
    </w:p>
    <w:p w14:paraId="16AC8019">
      <w:pPr>
        <w:jc w:val="left"/>
        <w:rPr>
          <w:rFonts w:hint="eastAsia" w:ascii="MiSans Light" w:hAnsi="MiSans Light" w:eastAsia="MiSans Light"/>
          <w:b/>
          <w:bCs/>
          <w:sz w:val="32"/>
          <w:szCs w:val="32"/>
        </w:rPr>
      </w:pPr>
    </w:p>
    <w:p w14:paraId="28A19B01">
      <w:pPr>
        <w:jc w:val="left"/>
        <w:rPr>
          <w:rFonts w:hint="eastAsia" w:ascii="MiSans Light" w:hAnsi="MiSans Light" w:eastAsia="MiSans Light"/>
          <w:b/>
          <w:bCs/>
          <w:sz w:val="32"/>
          <w:szCs w:val="32"/>
        </w:rPr>
      </w:pPr>
    </w:p>
    <w:p w14:paraId="09646A56">
      <w:pPr>
        <w:jc w:val="left"/>
        <w:rPr>
          <w:rFonts w:hint="eastAsia" w:ascii="MiSans Light" w:hAnsi="MiSans Light" w:eastAsia="MiSans Light"/>
          <w:b/>
          <w:bCs/>
          <w:sz w:val="32"/>
          <w:szCs w:val="32"/>
        </w:rPr>
      </w:pPr>
    </w:p>
    <w:p w14:paraId="08AC9E4B">
      <w:pPr>
        <w:jc w:val="left"/>
        <w:rPr>
          <w:rFonts w:hint="eastAsia" w:ascii="MiSans Light" w:hAnsi="MiSans Light" w:eastAsia="MiSans Light"/>
          <w:b/>
          <w:bCs/>
          <w:sz w:val="32"/>
          <w:szCs w:val="32"/>
        </w:rPr>
      </w:pPr>
    </w:p>
    <w:p w14:paraId="3B149B11">
      <w:pPr>
        <w:jc w:val="left"/>
        <w:rPr>
          <w:rFonts w:hint="eastAsia" w:ascii="MiSans Light" w:hAnsi="MiSans Light" w:eastAsia="MiSans Light"/>
          <w:b/>
          <w:bCs/>
          <w:sz w:val="32"/>
          <w:szCs w:val="32"/>
        </w:rPr>
      </w:pPr>
    </w:p>
    <w:p w14:paraId="7DD57917">
      <w:pPr>
        <w:jc w:val="left"/>
        <w:rPr>
          <w:rFonts w:ascii="MiSans Light" w:hAnsi="MiSans Light" w:eastAsia="MiSans Light"/>
          <w:b/>
          <w:bCs/>
          <w:sz w:val="32"/>
          <w:szCs w:val="32"/>
        </w:rPr>
      </w:pPr>
      <w:r>
        <w:rPr>
          <w:rFonts w:hint="eastAsia" w:ascii="MiSans Light" w:hAnsi="MiSans Light" w:eastAsia="MiSans Light"/>
          <w:b/>
          <w:bCs/>
          <w:sz w:val="32"/>
          <w:szCs w:val="32"/>
        </w:rPr>
        <w:t>附件3：问题的澄清</w:t>
      </w:r>
      <w:bookmarkEnd w:id="4"/>
      <w:bookmarkEnd w:id="5"/>
      <w:bookmarkEnd w:id="6"/>
      <w:bookmarkEnd w:id="7"/>
      <w:bookmarkEnd w:id="8"/>
      <w:bookmarkEnd w:id="9"/>
      <w:bookmarkEnd w:id="10"/>
    </w:p>
    <w:p w14:paraId="35FFEC56">
      <w:pPr>
        <w:snapToGrid w:val="0"/>
        <w:jc w:val="center"/>
        <w:rPr>
          <w:rFonts w:ascii="MiSans Light" w:hAnsi="MiSans Light" w:eastAsia="MiSans Light"/>
          <w:sz w:val="28"/>
          <w:szCs w:val="28"/>
        </w:rPr>
      </w:pPr>
    </w:p>
    <w:p w14:paraId="3E30855E">
      <w:pPr>
        <w:snapToGrid w:val="0"/>
        <w:rPr>
          <w:rFonts w:ascii="MiSans Light" w:hAnsi="MiSans Light" w:eastAsia="MiSans Light"/>
          <w:szCs w:val="21"/>
        </w:rPr>
      </w:pPr>
    </w:p>
    <w:p w14:paraId="61A52786">
      <w:pPr>
        <w:snapToGrid w:val="0"/>
        <w:rPr>
          <w:rFonts w:ascii="MiSans Light" w:hAnsi="MiSans Light" w:eastAsia="MiSans Light"/>
          <w:szCs w:val="21"/>
        </w:rPr>
      </w:pPr>
    </w:p>
    <w:p w14:paraId="10A47FF9">
      <w:pPr>
        <w:snapToGrid w:val="0"/>
        <w:rPr>
          <w:rFonts w:ascii="MiSans Light" w:hAnsi="MiSans Light" w:eastAsia="MiSans Light"/>
          <w:szCs w:val="21"/>
        </w:rPr>
      </w:pPr>
      <w:r>
        <w:rPr>
          <w:rFonts w:ascii="MiSans Light" w:hAnsi="MiSans Light" w:eastAsia="MiSans Light"/>
          <w:szCs w:val="21"/>
        </w:rPr>
        <w:t>　　</w:t>
      </w:r>
      <w:r>
        <w:rPr>
          <w:rFonts w:hint="eastAsia" w:ascii="MiSans Light" w:hAnsi="MiSans Light" w:eastAsia="MiSans Light"/>
          <w:szCs w:val="21"/>
        </w:rPr>
        <w:t>对各投标单位提出的问题</w:t>
      </w:r>
      <w:r>
        <w:rPr>
          <w:rFonts w:ascii="MiSans Light" w:hAnsi="MiSans Light" w:eastAsia="MiSans Light"/>
          <w:szCs w:val="21"/>
        </w:rPr>
        <w:t>澄清如下：</w:t>
      </w:r>
    </w:p>
    <w:p w14:paraId="37C8B21B">
      <w:pPr>
        <w:snapToGrid w:val="0"/>
        <w:rPr>
          <w:rFonts w:ascii="MiSans Light" w:hAnsi="MiSans Light" w:eastAsia="MiSans Light"/>
          <w:szCs w:val="21"/>
        </w:rPr>
      </w:pPr>
      <w:r>
        <w:rPr>
          <w:rFonts w:ascii="MiSans Light" w:hAnsi="MiSans Light" w:eastAsia="MiSans Light"/>
          <w:szCs w:val="21"/>
        </w:rPr>
        <w:t>　     1.</w:t>
      </w:r>
    </w:p>
    <w:p w14:paraId="135E1194">
      <w:pPr>
        <w:snapToGrid w:val="0"/>
        <w:rPr>
          <w:rFonts w:ascii="MiSans Light" w:hAnsi="MiSans Light" w:eastAsia="MiSans Light"/>
          <w:szCs w:val="21"/>
        </w:rPr>
      </w:pPr>
      <w:r>
        <w:rPr>
          <w:rFonts w:ascii="MiSans Light" w:hAnsi="MiSans Light" w:eastAsia="MiSans Light"/>
          <w:szCs w:val="21"/>
        </w:rPr>
        <w:t>　     2.</w:t>
      </w:r>
    </w:p>
    <w:p w14:paraId="46713FDD">
      <w:pPr>
        <w:snapToGrid w:val="0"/>
        <w:rPr>
          <w:rFonts w:ascii="MiSans Light" w:hAnsi="MiSans Light" w:eastAsia="MiSans Light"/>
          <w:szCs w:val="21"/>
        </w:rPr>
      </w:pPr>
      <w:r>
        <w:rPr>
          <w:rFonts w:ascii="MiSans Light" w:hAnsi="MiSans Light" w:eastAsia="MiSans Light"/>
          <w:szCs w:val="21"/>
        </w:rPr>
        <w:t>　    .....</w:t>
      </w:r>
    </w:p>
    <w:p w14:paraId="322530BB">
      <w:pPr>
        <w:snapToGrid w:val="0"/>
        <w:rPr>
          <w:rFonts w:ascii="MiSans Light" w:hAnsi="MiSans Light" w:eastAsia="MiSans Light"/>
          <w:szCs w:val="21"/>
        </w:rPr>
      </w:pPr>
    </w:p>
    <w:p w14:paraId="2126CCA7">
      <w:pPr>
        <w:snapToGrid w:val="0"/>
        <w:rPr>
          <w:rFonts w:ascii="MiSans Light" w:hAnsi="MiSans Light" w:eastAsia="MiSans Light"/>
          <w:szCs w:val="21"/>
        </w:rPr>
      </w:pPr>
      <w:r>
        <w:rPr>
          <w:rFonts w:ascii="MiSans Light" w:hAnsi="MiSans Light" w:eastAsia="MiSans Light"/>
          <w:szCs w:val="21"/>
        </w:rPr>
        <w:t xml:space="preserve">　 </w:t>
      </w:r>
    </w:p>
    <w:p w14:paraId="7A4249C3">
      <w:pPr>
        <w:snapToGrid w:val="0"/>
        <w:rPr>
          <w:rFonts w:ascii="MiSans Light" w:hAnsi="MiSans Light" w:eastAsia="MiSans Light"/>
          <w:szCs w:val="21"/>
        </w:rPr>
      </w:pPr>
    </w:p>
    <w:p w14:paraId="2E067692">
      <w:pPr>
        <w:snapToGrid w:val="0"/>
        <w:rPr>
          <w:rFonts w:ascii="MiSans Light" w:hAnsi="MiSans Light" w:eastAsia="MiSans Light"/>
          <w:szCs w:val="21"/>
        </w:rPr>
      </w:pPr>
    </w:p>
    <w:p w14:paraId="2B264FDC">
      <w:pPr>
        <w:snapToGrid w:val="0"/>
        <w:rPr>
          <w:rFonts w:ascii="MiSans Light" w:hAnsi="MiSans Light" w:eastAsia="MiSans Light"/>
          <w:szCs w:val="21"/>
        </w:rPr>
      </w:pPr>
    </w:p>
    <w:p w14:paraId="4E18AC5E">
      <w:pPr>
        <w:snapToGrid w:val="0"/>
        <w:rPr>
          <w:rFonts w:ascii="MiSans Light" w:hAnsi="MiSans Light" w:eastAsia="MiSans Light"/>
          <w:szCs w:val="21"/>
        </w:rPr>
      </w:pPr>
    </w:p>
    <w:p w14:paraId="2810F621">
      <w:pPr>
        <w:snapToGrid w:val="0"/>
        <w:jc w:val="right"/>
        <w:rPr>
          <w:rFonts w:ascii="MiSans Light" w:hAnsi="MiSans Light" w:eastAsia="MiSans Light"/>
          <w:szCs w:val="21"/>
        </w:rPr>
      </w:pPr>
      <w:r>
        <w:rPr>
          <w:rFonts w:ascii="MiSans Light" w:hAnsi="MiSans Light" w:eastAsia="MiSans Light"/>
          <w:szCs w:val="21"/>
        </w:rPr>
        <w:t>　　　　　　　　　　　　　　　</w:t>
      </w:r>
      <w:r>
        <w:rPr>
          <w:rFonts w:hint="eastAsia" w:ascii="MiSans Light" w:hAnsi="MiSans Light" w:eastAsia="MiSans Light"/>
          <w:szCs w:val="21"/>
        </w:rPr>
        <w:t>福建科达新能源科技有限公司</w:t>
      </w:r>
      <w:r>
        <w:rPr>
          <w:rFonts w:ascii="MiSans Light" w:hAnsi="MiSans Light" w:eastAsia="MiSans Light"/>
          <w:szCs w:val="21"/>
        </w:rPr>
        <w:t>：（盖单位章）</w:t>
      </w:r>
    </w:p>
    <w:p w14:paraId="2E133671">
      <w:pPr>
        <w:snapToGrid w:val="0"/>
        <w:jc w:val="right"/>
        <w:rPr>
          <w:rFonts w:ascii="MiSans Light" w:hAnsi="MiSans Light" w:eastAsia="MiSans Light"/>
          <w:szCs w:val="21"/>
        </w:rPr>
      </w:pPr>
      <w:r>
        <w:rPr>
          <w:rFonts w:ascii="MiSans Light" w:hAnsi="MiSans Light" w:eastAsia="MiSans Light"/>
          <w:szCs w:val="21"/>
        </w:rPr>
        <w:t>　　　　　　　　　　　　　　　</w:t>
      </w:r>
    </w:p>
    <w:p w14:paraId="397D84E5">
      <w:pPr>
        <w:snapToGrid w:val="0"/>
        <w:jc w:val="right"/>
        <w:rPr>
          <w:rFonts w:ascii="MiSans Light" w:hAnsi="MiSans Light" w:eastAsia="MiSans Light"/>
          <w:szCs w:val="21"/>
        </w:rPr>
      </w:pPr>
      <w:r>
        <w:rPr>
          <w:rFonts w:ascii="MiSans Light" w:hAnsi="MiSans Light" w:eastAsia="MiSans Light"/>
          <w:szCs w:val="21"/>
        </w:rPr>
        <w:t>　　　　　　　　　　　　　　　法定代表人或其委托代理人：（签字）</w:t>
      </w:r>
    </w:p>
    <w:p w14:paraId="5755FDBD">
      <w:pPr>
        <w:snapToGrid w:val="0"/>
        <w:jc w:val="right"/>
        <w:rPr>
          <w:rFonts w:ascii="MiSans Light" w:hAnsi="MiSans Light" w:eastAsia="MiSans Light"/>
          <w:szCs w:val="21"/>
        </w:rPr>
      </w:pPr>
      <w:r>
        <w:rPr>
          <w:rFonts w:ascii="MiSans Light" w:hAnsi="MiSans Light" w:eastAsia="MiSans Light"/>
          <w:szCs w:val="21"/>
        </w:rPr>
        <w:t>　　　　　　　　　　　　　　　</w:t>
      </w:r>
    </w:p>
    <w:p w14:paraId="656A85FC">
      <w:pPr>
        <w:snapToGrid w:val="0"/>
        <w:jc w:val="right"/>
        <w:rPr>
          <w:rFonts w:ascii="MiSans Light" w:hAnsi="MiSans Light" w:eastAsia="MiSans Light"/>
          <w:szCs w:val="21"/>
        </w:rPr>
      </w:pPr>
      <w:r>
        <w:rPr>
          <w:rFonts w:ascii="MiSans Light" w:hAnsi="MiSans Light" w:eastAsia="MiSans Light"/>
          <w:szCs w:val="21"/>
        </w:rPr>
        <w:t>　　　　　　　　　　　　　　　        年月日</w:t>
      </w:r>
    </w:p>
    <w:p w14:paraId="398F9E22">
      <w:pPr>
        <w:pStyle w:val="2"/>
        <w:snapToGrid w:val="0"/>
        <w:spacing w:line="240" w:lineRule="auto"/>
        <w:rPr>
          <w:rFonts w:hint="eastAsia" w:ascii="MiSans Light" w:hAnsi="MiSans Light" w:eastAsia="MiSans Light"/>
        </w:rPr>
      </w:pPr>
      <w:bookmarkStart w:id="11" w:name="_Toc152045584"/>
      <w:bookmarkStart w:id="12" w:name="_Toc88834960"/>
      <w:bookmarkStart w:id="13" w:name="_Toc144974551"/>
      <w:bookmarkStart w:id="14" w:name="_Toc9565"/>
      <w:bookmarkStart w:id="15" w:name="_Toc152042361"/>
      <w:bookmarkStart w:id="16" w:name="_Toc247514008"/>
      <w:bookmarkStart w:id="17" w:name="_Toc247527609"/>
    </w:p>
    <w:p w14:paraId="12702977">
      <w:pPr>
        <w:pStyle w:val="2"/>
        <w:snapToGrid w:val="0"/>
        <w:spacing w:line="240" w:lineRule="auto"/>
        <w:rPr>
          <w:rFonts w:hint="eastAsia" w:ascii="MiSans Light" w:hAnsi="MiSans Light" w:eastAsia="MiSans Light"/>
        </w:rPr>
      </w:pPr>
    </w:p>
    <w:p w14:paraId="67BB69FD">
      <w:pPr>
        <w:pStyle w:val="2"/>
        <w:snapToGrid w:val="0"/>
        <w:spacing w:line="240" w:lineRule="auto"/>
        <w:rPr>
          <w:rFonts w:hint="eastAsia" w:ascii="MiSans Light" w:hAnsi="MiSans Light" w:eastAsia="MiSans Light"/>
        </w:rPr>
      </w:pPr>
    </w:p>
    <w:p w14:paraId="5DE5E932">
      <w:pPr>
        <w:pStyle w:val="2"/>
        <w:snapToGrid w:val="0"/>
        <w:spacing w:line="240" w:lineRule="auto"/>
        <w:rPr>
          <w:rFonts w:hint="eastAsia" w:ascii="MiSans Light" w:hAnsi="MiSans Light" w:eastAsia="MiSans Light"/>
        </w:rPr>
      </w:pPr>
    </w:p>
    <w:p w14:paraId="601DA4AF">
      <w:pPr>
        <w:pStyle w:val="2"/>
        <w:snapToGrid w:val="0"/>
        <w:spacing w:line="240" w:lineRule="auto"/>
        <w:rPr>
          <w:rFonts w:hint="eastAsia" w:ascii="MiSans Light" w:hAnsi="MiSans Light" w:eastAsia="MiSans Light"/>
        </w:rPr>
      </w:pPr>
    </w:p>
    <w:p w14:paraId="685BF6C0">
      <w:pPr>
        <w:pStyle w:val="2"/>
        <w:snapToGrid w:val="0"/>
        <w:spacing w:line="240" w:lineRule="auto"/>
        <w:rPr>
          <w:rFonts w:hint="eastAsia" w:ascii="MiSans Light" w:hAnsi="MiSans Light" w:eastAsia="MiSans Light"/>
        </w:rPr>
      </w:pPr>
    </w:p>
    <w:p w14:paraId="30174AFA">
      <w:pPr>
        <w:pStyle w:val="2"/>
        <w:snapToGrid w:val="0"/>
        <w:spacing w:line="240" w:lineRule="auto"/>
        <w:rPr>
          <w:rFonts w:hint="eastAsia" w:ascii="MiSans Light" w:hAnsi="MiSans Light" w:eastAsia="MiSans Light"/>
        </w:rPr>
      </w:pPr>
    </w:p>
    <w:p w14:paraId="7839994A">
      <w:pPr>
        <w:pStyle w:val="2"/>
        <w:snapToGrid w:val="0"/>
        <w:spacing w:line="240" w:lineRule="auto"/>
        <w:rPr>
          <w:rFonts w:hint="eastAsia" w:ascii="MiSans Light" w:hAnsi="MiSans Light" w:eastAsia="MiSans Light"/>
        </w:rPr>
      </w:pPr>
    </w:p>
    <w:p w14:paraId="7F2061C2">
      <w:pPr>
        <w:pStyle w:val="2"/>
        <w:snapToGrid w:val="0"/>
        <w:spacing w:line="240" w:lineRule="auto"/>
        <w:rPr>
          <w:rFonts w:hint="eastAsia" w:ascii="MiSans Light" w:hAnsi="MiSans Light" w:eastAsia="MiSans Light"/>
        </w:rPr>
      </w:pPr>
    </w:p>
    <w:p w14:paraId="6271636C">
      <w:pPr>
        <w:pStyle w:val="2"/>
        <w:snapToGrid w:val="0"/>
        <w:spacing w:line="240" w:lineRule="auto"/>
        <w:rPr>
          <w:rFonts w:hint="eastAsia" w:ascii="MiSans Light" w:hAnsi="MiSans Light" w:eastAsia="MiSans Light"/>
        </w:rPr>
      </w:pPr>
    </w:p>
    <w:bookmarkEnd w:id="11"/>
    <w:bookmarkEnd w:id="12"/>
    <w:bookmarkEnd w:id="13"/>
    <w:bookmarkEnd w:id="14"/>
    <w:bookmarkEnd w:id="15"/>
    <w:bookmarkEnd w:id="16"/>
    <w:bookmarkEnd w:id="17"/>
    <w:p w14:paraId="4AFF769F">
      <w:pPr>
        <w:snapToGrid w:val="0"/>
        <w:jc w:val="both"/>
        <w:rPr>
          <w:rFonts w:hint="eastAsia" w:ascii="MiSans Light" w:hAnsi="MiSans Light" w:eastAsia="MiSans Light"/>
          <w:sz w:val="28"/>
          <w:szCs w:val="28"/>
        </w:rPr>
      </w:pPr>
    </w:p>
    <w:p w14:paraId="3F82A746">
      <w:pPr>
        <w:snapToGrid w:val="0"/>
        <w:jc w:val="both"/>
        <w:rPr>
          <w:rFonts w:hint="eastAsia" w:ascii="MiSans Light" w:hAnsi="MiSans Light" w:eastAsia="MiSans Light"/>
          <w:sz w:val="28"/>
          <w:szCs w:val="28"/>
        </w:rPr>
      </w:pPr>
    </w:p>
    <w:p w14:paraId="2F6EBE3C">
      <w:pPr>
        <w:snapToGrid w:val="0"/>
        <w:jc w:val="both"/>
        <w:rPr>
          <w:rFonts w:hint="eastAsia" w:ascii="MiSans Light" w:hAnsi="MiSans Light" w:eastAsia="MiSans Light"/>
          <w:sz w:val="28"/>
          <w:szCs w:val="28"/>
        </w:rPr>
      </w:pPr>
    </w:p>
    <w:p w14:paraId="6F870115">
      <w:pPr>
        <w:snapToGrid w:val="0"/>
        <w:jc w:val="both"/>
        <w:rPr>
          <w:rFonts w:hint="eastAsia" w:ascii="MiSans Light" w:hAnsi="MiSans Light" w:eastAsia="MiSans Light"/>
          <w:sz w:val="28"/>
          <w:szCs w:val="28"/>
        </w:rPr>
      </w:pPr>
    </w:p>
    <w:p w14:paraId="6121AE9F">
      <w:pPr>
        <w:jc w:val="left"/>
        <w:rPr>
          <w:rFonts w:hint="eastAsia" w:ascii="MiSans Light" w:hAnsi="MiSans Light" w:eastAsia="MiSans Light"/>
          <w:b/>
          <w:bCs/>
          <w:sz w:val="32"/>
          <w:szCs w:val="32"/>
        </w:rPr>
      </w:pPr>
      <w:r>
        <w:rPr>
          <w:rFonts w:hint="eastAsia" w:ascii="MiSans Light" w:hAnsi="MiSans Light" w:eastAsia="MiSans Light"/>
          <w:b/>
          <w:bCs/>
          <w:sz w:val="32"/>
          <w:szCs w:val="32"/>
        </w:rPr>
        <w:t>附件4：中标通知书</w:t>
      </w:r>
    </w:p>
    <w:p w14:paraId="1343693B">
      <w:pPr>
        <w:snapToGrid w:val="0"/>
        <w:jc w:val="center"/>
        <w:rPr>
          <w:rFonts w:hint="eastAsia" w:ascii="MiSans Light" w:hAnsi="MiSans Light" w:eastAsia="MiSans Light"/>
          <w:sz w:val="28"/>
          <w:szCs w:val="28"/>
        </w:rPr>
      </w:pPr>
    </w:p>
    <w:p w14:paraId="4B2C502F">
      <w:pPr>
        <w:snapToGrid w:val="0"/>
        <w:jc w:val="center"/>
        <w:rPr>
          <w:rFonts w:hint="eastAsia" w:ascii="MiSans Light" w:hAnsi="MiSans Light" w:eastAsia="MiSans Light"/>
          <w:sz w:val="28"/>
          <w:szCs w:val="28"/>
        </w:rPr>
      </w:pPr>
    </w:p>
    <w:p w14:paraId="18AE094E">
      <w:pPr>
        <w:snapToGrid w:val="0"/>
        <w:jc w:val="center"/>
        <w:rPr>
          <w:rFonts w:ascii="MiSans Light" w:hAnsi="MiSans Light" w:eastAsia="MiSans Light"/>
          <w:sz w:val="28"/>
          <w:szCs w:val="28"/>
        </w:rPr>
      </w:pPr>
      <w:r>
        <w:rPr>
          <w:rFonts w:hint="eastAsia" w:ascii="MiSans Light" w:hAnsi="MiSans Light" w:eastAsia="MiSans Light"/>
          <w:sz w:val="28"/>
          <w:szCs w:val="28"/>
        </w:rPr>
        <w:t>中标通知书</w:t>
      </w:r>
    </w:p>
    <w:p w14:paraId="59AD7499">
      <w:pPr>
        <w:snapToGrid w:val="0"/>
        <w:rPr>
          <w:rFonts w:ascii="MiSans Light" w:hAnsi="MiSans Light" w:eastAsia="MiSans Light"/>
        </w:rPr>
      </w:pPr>
    </w:p>
    <w:p w14:paraId="07EC5330">
      <w:pPr>
        <w:snapToGrid w:val="0"/>
        <w:rPr>
          <w:rFonts w:ascii="MiSans Light" w:hAnsi="MiSans Light" w:eastAsia="MiSans Light"/>
          <w:szCs w:val="21"/>
        </w:rPr>
      </w:pPr>
      <w:r>
        <w:rPr>
          <w:rFonts w:hint="eastAsia" w:ascii="MiSans Light" w:hAnsi="MiSans Light" w:eastAsia="MiSans Light"/>
          <w:szCs w:val="21"/>
        </w:rPr>
        <w:t>XXXXXXXXX有限公司</w:t>
      </w:r>
      <w:r>
        <w:rPr>
          <w:rFonts w:ascii="MiSans Light" w:hAnsi="MiSans Light" w:eastAsia="MiSans Light"/>
          <w:szCs w:val="21"/>
        </w:rPr>
        <w:t>：</w:t>
      </w:r>
    </w:p>
    <w:p w14:paraId="132A7159">
      <w:pPr>
        <w:snapToGrid w:val="0"/>
        <w:rPr>
          <w:rFonts w:ascii="MiSans Light" w:hAnsi="MiSans Light" w:eastAsia="MiSans Light"/>
          <w:szCs w:val="21"/>
        </w:rPr>
      </w:pPr>
    </w:p>
    <w:p w14:paraId="126EA61E">
      <w:pPr>
        <w:snapToGrid w:val="0"/>
        <w:rPr>
          <w:rFonts w:ascii="MiSans Light" w:hAnsi="MiSans Light" w:eastAsia="MiSans Light"/>
          <w:szCs w:val="21"/>
        </w:rPr>
      </w:pPr>
      <w:r>
        <w:rPr>
          <w:rFonts w:ascii="MiSans Light" w:hAnsi="MiSans Light" w:eastAsia="MiSans Light"/>
          <w:szCs w:val="21"/>
        </w:rPr>
        <w:t>　　你方于</w:t>
      </w:r>
      <w:r>
        <w:rPr>
          <w:rFonts w:hint="eastAsia" w:ascii="MiSans Light" w:hAnsi="MiSans Light" w:eastAsia="MiSans Light"/>
          <w:szCs w:val="21"/>
        </w:rPr>
        <w:t>202</w:t>
      </w:r>
      <w:r>
        <w:rPr>
          <w:rFonts w:hint="eastAsia" w:ascii="MiSans Light" w:hAnsi="MiSans Light" w:eastAsia="MiSans Light"/>
          <w:szCs w:val="21"/>
          <w:lang w:val="en-US" w:eastAsia="zh-CN"/>
        </w:rPr>
        <w:t>6</w:t>
      </w:r>
      <w:r>
        <w:rPr>
          <w:rFonts w:hint="eastAsia" w:ascii="MiSans Light" w:hAnsi="MiSans Light" w:eastAsia="MiSans Light"/>
          <w:szCs w:val="21"/>
        </w:rPr>
        <w:t>年X月X日</w:t>
      </w:r>
      <w:r>
        <w:rPr>
          <w:rFonts w:ascii="MiSans Light" w:hAnsi="MiSans Light" w:eastAsia="MiSans Light"/>
          <w:szCs w:val="21"/>
        </w:rPr>
        <w:t>所递交的</w:t>
      </w:r>
      <w:r>
        <w:rPr>
          <w:rFonts w:hint="eastAsia" w:ascii="MiSans Light" w:hAnsi="MiSans Light" w:eastAsia="MiSans Light"/>
          <w:szCs w:val="21"/>
          <w:u w:val="single"/>
        </w:rPr>
        <w:t>福建科达新能源科技有限公司</w:t>
      </w:r>
      <w:r>
        <w:rPr>
          <w:rFonts w:hint="eastAsia" w:ascii="MiSans Light" w:hAnsi="MiSans Light" w:eastAsia="MiSans Light"/>
          <w:szCs w:val="21"/>
          <w:u w:val="single"/>
          <w:lang w:val="en-US" w:eastAsia="zh-CN"/>
        </w:rPr>
        <w:t>铜铝废旧物资售卖项目</w:t>
      </w:r>
      <w:r>
        <w:rPr>
          <w:rFonts w:hint="eastAsia" w:ascii="MiSans Light" w:hAnsi="MiSans Light" w:eastAsia="MiSans Light"/>
          <w:szCs w:val="21"/>
        </w:rPr>
        <w:t>招标的</w:t>
      </w:r>
      <w:r>
        <w:rPr>
          <w:rFonts w:ascii="MiSans Light" w:hAnsi="MiSans Light" w:eastAsia="MiSans Light"/>
          <w:szCs w:val="21"/>
        </w:rPr>
        <w:t>投标文件已被我方接受，被确定为中标人。</w:t>
      </w:r>
    </w:p>
    <w:p w14:paraId="5FC4E3AD">
      <w:pPr>
        <w:snapToGrid w:val="0"/>
        <w:ind w:firstLine="420"/>
        <w:rPr>
          <w:rFonts w:ascii="MiSans Light" w:hAnsi="MiSans Light" w:eastAsia="MiSans Light"/>
          <w:szCs w:val="21"/>
        </w:rPr>
      </w:pPr>
      <w:r>
        <w:rPr>
          <w:rFonts w:ascii="MiSans Light" w:hAnsi="MiSans Light" w:eastAsia="MiSans Light"/>
          <w:szCs w:val="21"/>
        </w:rPr>
        <w:t>中标价：</w:t>
      </w:r>
      <w:r>
        <w:rPr>
          <w:rFonts w:hint="eastAsia" w:ascii="MiSans Light" w:hAnsi="MiSans Light" w:eastAsia="MiSans Light"/>
          <w:szCs w:val="21"/>
          <w:u w:val="single"/>
        </w:rPr>
        <w:t xml:space="preserve"> </w:t>
      </w:r>
      <w:r>
        <w:rPr>
          <w:rFonts w:ascii="MiSans Light" w:hAnsi="MiSans Light" w:eastAsia="MiSans Light"/>
          <w:szCs w:val="21"/>
          <w:u w:val="single"/>
        </w:rPr>
        <w:t xml:space="preserve">   </w:t>
      </w:r>
      <w:r>
        <w:rPr>
          <w:rFonts w:hint="eastAsia" w:ascii="MiSans Light" w:hAnsi="MiSans Light" w:eastAsia="MiSans Light"/>
          <w:szCs w:val="21"/>
          <w:u w:val="single"/>
          <w:lang w:val="en-US" w:eastAsia="zh-CN"/>
        </w:rPr>
        <w:t xml:space="preserve"> </w:t>
      </w:r>
      <w:r>
        <w:rPr>
          <w:rFonts w:ascii="MiSans Light" w:hAnsi="MiSans Light" w:eastAsia="MiSans Light"/>
          <w:szCs w:val="21"/>
          <w:u w:val="single"/>
        </w:rPr>
        <w:t xml:space="preserve"> </w:t>
      </w:r>
      <w:r>
        <w:rPr>
          <w:rFonts w:hint="eastAsia" w:ascii="MiSans Light" w:hAnsi="MiSans Light" w:eastAsia="MiSans Light"/>
          <w:szCs w:val="21"/>
          <w:u w:val="single"/>
        </w:rPr>
        <w:t>万</w:t>
      </w:r>
      <w:r>
        <w:rPr>
          <w:rFonts w:ascii="MiSans Light" w:hAnsi="MiSans Light" w:eastAsia="MiSans Light"/>
          <w:szCs w:val="21"/>
        </w:rPr>
        <w:t>元。</w:t>
      </w:r>
    </w:p>
    <w:p w14:paraId="3435F989">
      <w:pPr>
        <w:snapToGrid w:val="0"/>
        <w:ind w:firstLine="420"/>
        <w:rPr>
          <w:rFonts w:ascii="MiSans Light" w:hAnsi="MiSans Light" w:eastAsia="MiSans Light"/>
          <w:szCs w:val="21"/>
        </w:rPr>
      </w:pPr>
      <w:r>
        <w:rPr>
          <w:rFonts w:ascii="MiSans Light" w:hAnsi="MiSans Light" w:eastAsia="MiSans Light"/>
          <w:szCs w:val="21"/>
        </w:rPr>
        <w:t>请你方在接到本通知书后的</w:t>
      </w:r>
      <w:r>
        <w:rPr>
          <w:rFonts w:hint="eastAsia" w:ascii="MiSans Light" w:hAnsi="MiSans Light" w:eastAsia="MiSans Light"/>
          <w:szCs w:val="21"/>
        </w:rPr>
        <w:t>7</w:t>
      </w:r>
      <w:r>
        <w:rPr>
          <w:rFonts w:ascii="MiSans Light" w:hAnsi="MiSans Light" w:eastAsia="MiSans Light"/>
          <w:szCs w:val="21"/>
        </w:rPr>
        <w:t>日内到</w:t>
      </w:r>
      <w:r>
        <w:rPr>
          <w:rFonts w:hint="eastAsia" w:ascii="MiSans Light" w:hAnsi="MiSans Light" w:eastAsia="MiSans Light"/>
          <w:szCs w:val="21"/>
        </w:rPr>
        <w:t>福建省三明市大田县太华镇罗丰工业园福建科达新能源科技有限公司</w:t>
      </w:r>
      <w:r>
        <w:rPr>
          <w:rFonts w:ascii="MiSans Light" w:hAnsi="MiSans Light" w:eastAsia="MiSans Light"/>
          <w:szCs w:val="21"/>
        </w:rPr>
        <w:t>与我方签订合同。</w:t>
      </w:r>
    </w:p>
    <w:p w14:paraId="4174F5C5">
      <w:pPr>
        <w:snapToGrid w:val="0"/>
        <w:rPr>
          <w:rFonts w:ascii="MiSans Light" w:hAnsi="MiSans Light" w:eastAsia="MiSans Light"/>
          <w:szCs w:val="21"/>
        </w:rPr>
      </w:pPr>
      <w:r>
        <w:rPr>
          <w:rFonts w:ascii="MiSans Light" w:hAnsi="MiSans Light" w:eastAsia="MiSans Light"/>
          <w:szCs w:val="21"/>
        </w:rPr>
        <w:t>　　特此通知。</w:t>
      </w:r>
    </w:p>
    <w:p w14:paraId="32EE3FC3">
      <w:pPr>
        <w:snapToGrid w:val="0"/>
        <w:rPr>
          <w:rFonts w:ascii="MiSans Light" w:hAnsi="MiSans Light" w:eastAsia="MiSans Light"/>
          <w:szCs w:val="21"/>
        </w:rPr>
      </w:pPr>
    </w:p>
    <w:p w14:paraId="5D2E3CC3">
      <w:pPr>
        <w:snapToGrid w:val="0"/>
        <w:rPr>
          <w:rFonts w:ascii="MiSans Light" w:hAnsi="MiSans Light" w:eastAsia="MiSans Light"/>
          <w:szCs w:val="21"/>
        </w:rPr>
      </w:pPr>
    </w:p>
    <w:p w14:paraId="3266F93B">
      <w:pPr>
        <w:snapToGrid w:val="0"/>
        <w:ind w:firstLine="3238" w:firstLineChars="1542"/>
        <w:jc w:val="right"/>
        <w:rPr>
          <w:rFonts w:ascii="MiSans Light" w:hAnsi="MiSans Light" w:eastAsia="MiSans Light"/>
          <w:szCs w:val="21"/>
        </w:rPr>
      </w:pPr>
      <w:r>
        <w:rPr>
          <w:rFonts w:ascii="MiSans Light" w:hAnsi="MiSans Light" w:eastAsia="MiSans Light"/>
          <w:szCs w:val="21"/>
        </w:rPr>
        <w:t>招标人：（盖单位章）</w:t>
      </w:r>
    </w:p>
    <w:p w14:paraId="571C830B">
      <w:pPr>
        <w:snapToGrid w:val="0"/>
        <w:ind w:firstLine="3238" w:firstLineChars="1542"/>
        <w:jc w:val="right"/>
        <w:rPr>
          <w:rFonts w:ascii="MiSans Light" w:hAnsi="MiSans Light" w:eastAsia="MiSans Light"/>
          <w:szCs w:val="21"/>
        </w:rPr>
      </w:pPr>
      <w:r>
        <w:rPr>
          <w:rFonts w:ascii="MiSans Light" w:hAnsi="MiSans Light" w:eastAsia="MiSans Light"/>
          <w:szCs w:val="21"/>
        </w:rPr>
        <w:t xml:space="preserve">            </w:t>
      </w:r>
    </w:p>
    <w:p w14:paraId="7A085D67">
      <w:pPr>
        <w:snapToGrid w:val="0"/>
        <w:ind w:firstLine="3863" w:firstLineChars="1840"/>
        <w:jc w:val="right"/>
        <w:rPr>
          <w:rFonts w:ascii="MiSans Light" w:hAnsi="MiSans Light" w:eastAsia="MiSans Light"/>
          <w:szCs w:val="21"/>
        </w:rPr>
      </w:pPr>
      <w:r>
        <w:rPr>
          <w:rFonts w:hint="eastAsia" w:ascii="MiSans Light" w:hAnsi="MiSans Light" w:eastAsia="MiSans Light"/>
          <w:szCs w:val="21"/>
        </w:rPr>
        <w:t>202</w:t>
      </w:r>
      <w:r>
        <w:rPr>
          <w:rFonts w:hint="eastAsia" w:ascii="MiSans Light" w:hAnsi="MiSans Light" w:eastAsia="MiSans Light"/>
          <w:szCs w:val="21"/>
          <w:lang w:val="en-US" w:eastAsia="zh-CN"/>
        </w:rPr>
        <w:t>6</w:t>
      </w:r>
      <w:r>
        <w:rPr>
          <w:rFonts w:ascii="MiSans Light" w:hAnsi="MiSans Light" w:eastAsia="MiSans Light"/>
          <w:szCs w:val="21"/>
        </w:rPr>
        <w:t>年X月X日</w:t>
      </w:r>
    </w:p>
    <w:p w14:paraId="558B0ECA">
      <w:pPr>
        <w:snapToGrid w:val="0"/>
        <w:rPr>
          <w:rFonts w:ascii="MiSans Light" w:hAnsi="MiSans Light" w:eastAsia="MiSans Light"/>
        </w:rPr>
      </w:pPr>
    </w:p>
    <w:p w14:paraId="51009DEE">
      <w:pPr>
        <w:snapToGrid w:val="0"/>
        <w:rPr>
          <w:rFonts w:ascii="MiSans Light" w:hAnsi="MiSans Light" w:eastAsia="MiSans Light"/>
        </w:rPr>
      </w:pPr>
    </w:p>
    <w:p w14:paraId="1AB0CCC3">
      <w:pPr>
        <w:snapToGrid w:val="0"/>
        <w:rPr>
          <w:rFonts w:ascii="MiSans Light" w:hAnsi="MiSans Light" w:eastAsia="MiSans Light"/>
        </w:rPr>
      </w:pPr>
    </w:p>
    <w:p w14:paraId="78AE926E">
      <w:pPr>
        <w:snapToGrid w:val="0"/>
        <w:rPr>
          <w:rFonts w:ascii="MiSans Light" w:hAnsi="MiSans Light" w:eastAsia="MiSans Light"/>
        </w:rPr>
      </w:pPr>
    </w:p>
    <w:p w14:paraId="17236C37">
      <w:pPr>
        <w:snapToGrid w:val="0"/>
        <w:rPr>
          <w:rFonts w:ascii="MiSans Light" w:hAnsi="MiSans Light" w:eastAsia="MiSans Light"/>
        </w:rPr>
      </w:pPr>
    </w:p>
    <w:p w14:paraId="34CED12F">
      <w:pPr>
        <w:spacing w:line="480" w:lineRule="auto"/>
        <w:jc w:val="left"/>
        <w:rPr>
          <w:rFonts w:hint="eastAsia"/>
          <w:b/>
          <w:sz w:val="28"/>
          <w:szCs w:val="28"/>
        </w:rPr>
      </w:pPr>
    </w:p>
    <w:p w14:paraId="17498D1E">
      <w:pPr>
        <w:spacing w:line="480" w:lineRule="auto"/>
        <w:jc w:val="left"/>
        <w:rPr>
          <w:rFonts w:hint="eastAsia" w:ascii="MiSans Light" w:hAnsi="MiSans Light" w:eastAsia="MiSans Light"/>
          <w:b/>
          <w:bCs/>
          <w:sz w:val="32"/>
          <w:szCs w:val="32"/>
        </w:rPr>
      </w:pPr>
    </w:p>
    <w:p w14:paraId="7913C88C">
      <w:pPr>
        <w:spacing w:line="480" w:lineRule="auto"/>
        <w:jc w:val="left"/>
        <w:rPr>
          <w:rFonts w:hint="eastAsia" w:ascii="MiSans Light" w:hAnsi="MiSans Light" w:eastAsia="MiSans Light"/>
          <w:b/>
          <w:bCs/>
          <w:sz w:val="32"/>
          <w:szCs w:val="32"/>
        </w:rPr>
      </w:pPr>
    </w:p>
    <w:p w14:paraId="266A2912">
      <w:pPr>
        <w:spacing w:line="480" w:lineRule="auto"/>
        <w:jc w:val="left"/>
        <w:rPr>
          <w:rFonts w:hint="eastAsia" w:ascii="MiSans Light" w:hAnsi="MiSans Light" w:eastAsia="MiSans Light"/>
          <w:b/>
          <w:bCs/>
          <w:sz w:val="32"/>
          <w:szCs w:val="32"/>
        </w:rPr>
      </w:pPr>
    </w:p>
    <w:p w14:paraId="0E1D291C">
      <w:pPr>
        <w:spacing w:line="480" w:lineRule="auto"/>
        <w:jc w:val="left"/>
        <w:rPr>
          <w:rFonts w:hint="eastAsia" w:ascii="MiSans Light" w:hAnsi="MiSans Light" w:eastAsia="MiSans Light"/>
          <w:b/>
          <w:bCs/>
          <w:sz w:val="32"/>
          <w:szCs w:val="32"/>
        </w:rPr>
      </w:pPr>
    </w:p>
    <w:p w14:paraId="1C0A5045">
      <w:pPr>
        <w:spacing w:line="480" w:lineRule="auto"/>
        <w:jc w:val="left"/>
        <w:rPr>
          <w:rFonts w:hint="eastAsia" w:ascii="MiSans Light" w:hAnsi="MiSans Light" w:eastAsia="MiSans Light"/>
          <w:b/>
          <w:bCs/>
          <w:sz w:val="32"/>
          <w:szCs w:val="32"/>
        </w:rPr>
      </w:pPr>
    </w:p>
    <w:p w14:paraId="0A840071">
      <w:pPr>
        <w:spacing w:line="480" w:lineRule="auto"/>
        <w:jc w:val="left"/>
        <w:rPr>
          <w:rFonts w:hint="eastAsia" w:ascii="MiSans Light" w:hAnsi="MiSans Light" w:eastAsia="MiSans Light"/>
          <w:b/>
          <w:bCs/>
          <w:sz w:val="32"/>
          <w:szCs w:val="32"/>
        </w:rPr>
      </w:pPr>
    </w:p>
    <w:p w14:paraId="6DB6E59E">
      <w:pPr>
        <w:spacing w:line="480" w:lineRule="auto"/>
        <w:jc w:val="left"/>
        <w:rPr>
          <w:rFonts w:hint="eastAsia" w:ascii="MiSans Light" w:hAnsi="MiSans Light" w:eastAsia="MiSans Light"/>
          <w:b/>
          <w:bCs/>
          <w:sz w:val="32"/>
          <w:szCs w:val="32"/>
        </w:rPr>
      </w:pPr>
    </w:p>
    <w:p w14:paraId="2A9B6E16">
      <w:pPr>
        <w:spacing w:line="480" w:lineRule="auto"/>
        <w:jc w:val="left"/>
        <w:rPr>
          <w:rFonts w:hint="eastAsia" w:ascii="MiSans Light" w:hAnsi="MiSans Light" w:eastAsia="MiSans Light"/>
          <w:b/>
          <w:bCs/>
          <w:sz w:val="32"/>
          <w:szCs w:val="32"/>
        </w:rPr>
      </w:pPr>
    </w:p>
    <w:p w14:paraId="0925E905">
      <w:pPr>
        <w:spacing w:line="480" w:lineRule="auto"/>
        <w:jc w:val="left"/>
        <w:rPr>
          <w:rFonts w:hint="eastAsia" w:ascii="MiSans Light" w:hAnsi="MiSans Light" w:eastAsia="MiSans Light"/>
          <w:b/>
          <w:bCs/>
          <w:sz w:val="32"/>
          <w:szCs w:val="32"/>
        </w:rPr>
      </w:pPr>
    </w:p>
    <w:p w14:paraId="105FA4FC">
      <w:pPr>
        <w:spacing w:line="480" w:lineRule="auto"/>
        <w:jc w:val="left"/>
        <w:rPr>
          <w:rFonts w:ascii="MiSans Light" w:hAnsi="MiSans Light" w:eastAsia="MiSans Light"/>
          <w:b/>
          <w:bCs/>
          <w:sz w:val="32"/>
          <w:szCs w:val="32"/>
        </w:rPr>
      </w:pPr>
      <w:r>
        <w:rPr>
          <w:rFonts w:hint="eastAsia" w:ascii="MiSans Light" w:hAnsi="MiSans Light" w:eastAsia="MiSans Light"/>
          <w:b/>
          <w:bCs/>
          <w:sz w:val="32"/>
          <w:szCs w:val="32"/>
        </w:rPr>
        <w:t>附件5：投标确认函</w:t>
      </w:r>
    </w:p>
    <w:p w14:paraId="0043BB38">
      <w:pPr>
        <w:spacing w:line="480" w:lineRule="auto"/>
        <w:ind w:left="482" w:hanging="482" w:hangingChars="100"/>
        <w:jc w:val="center"/>
        <w:rPr>
          <w:rFonts w:hint="eastAsia" w:ascii="MiSans Light" w:hAnsi="MiSans Light" w:eastAsia="MiSans Light" w:cs="黑体"/>
          <w:b/>
          <w:bCs/>
          <w:sz w:val="48"/>
          <w:szCs w:val="48"/>
        </w:rPr>
      </w:pPr>
      <w:r>
        <w:rPr>
          <w:rFonts w:hint="eastAsia" w:ascii="MiSans Light" w:hAnsi="MiSans Light" w:eastAsia="MiSans Light" w:cs="黑体"/>
          <w:b/>
          <w:bCs/>
          <w:sz w:val="48"/>
          <w:szCs w:val="48"/>
        </w:rPr>
        <w:t>福建科达新能源科技有限公司</w:t>
      </w:r>
    </w:p>
    <w:p w14:paraId="33A42A3F">
      <w:pPr>
        <w:spacing w:line="480" w:lineRule="auto"/>
        <w:ind w:left="281" w:hanging="281" w:hangingChars="100"/>
        <w:jc w:val="center"/>
        <w:rPr>
          <w:rFonts w:ascii="宋体" w:hAnsi="宋体"/>
          <w:b/>
          <w:sz w:val="28"/>
          <w:szCs w:val="28"/>
        </w:rPr>
      </w:pPr>
      <w:r>
        <w:rPr>
          <w:rFonts w:hint="eastAsia" w:ascii="宋体" w:hAnsi="宋体"/>
          <w:b/>
          <w:sz w:val="28"/>
          <w:szCs w:val="28"/>
          <w:lang w:val="en-US" w:eastAsia="zh-CN"/>
        </w:rPr>
        <w:t>铜铝废旧物资售卖项目</w:t>
      </w:r>
      <w:r>
        <w:rPr>
          <w:rFonts w:hint="eastAsia" w:ascii="宋体" w:hAnsi="宋体"/>
          <w:b/>
          <w:sz w:val="28"/>
          <w:szCs w:val="28"/>
        </w:rPr>
        <w:t>投标确认函</w:t>
      </w:r>
    </w:p>
    <w:p w14:paraId="52E67A5B">
      <w:pPr>
        <w:spacing w:line="480" w:lineRule="auto"/>
        <w:jc w:val="center"/>
        <w:rPr>
          <w:rFonts w:ascii="宋体" w:hAnsi="宋体"/>
          <w:sz w:val="28"/>
          <w:szCs w:val="28"/>
        </w:rPr>
      </w:pPr>
    </w:p>
    <w:p w14:paraId="29D1CD77">
      <w:pPr>
        <w:snapToGrid w:val="0"/>
        <w:rPr>
          <w:rFonts w:hint="eastAsia" w:ascii="MiSans Light" w:hAnsi="MiSans Light" w:eastAsia="MiSans Light"/>
          <w:szCs w:val="21"/>
        </w:rPr>
      </w:pPr>
      <w:r>
        <w:rPr>
          <w:rFonts w:hint="eastAsia" w:ascii="MiSans Light" w:hAnsi="MiSans Light" w:eastAsia="MiSans Light"/>
          <w:szCs w:val="21"/>
        </w:rPr>
        <w:t>福建科达新能源科技有限公司：</w:t>
      </w:r>
    </w:p>
    <w:p w14:paraId="0A11AF4F">
      <w:pPr>
        <w:pStyle w:val="3"/>
      </w:pPr>
    </w:p>
    <w:p w14:paraId="31D4920D">
      <w:pPr>
        <w:snapToGrid w:val="0"/>
        <w:rPr>
          <w:rFonts w:ascii="MiSans Light" w:hAnsi="MiSans Light" w:eastAsia="MiSans Light"/>
          <w:szCs w:val="21"/>
        </w:rPr>
      </w:pPr>
      <w:r>
        <w:rPr>
          <w:rFonts w:hint="eastAsia" w:ascii="MiSans Light" w:hAnsi="MiSans Light" w:eastAsia="MiSans Light"/>
          <w:szCs w:val="21"/>
        </w:rPr>
        <w:t>我方已收到福建科达新能源科技有限公司</w:t>
      </w:r>
      <w:r>
        <w:rPr>
          <w:rFonts w:hint="eastAsia" w:ascii="MiSans Light" w:hAnsi="MiSans Light" w:eastAsia="MiSans Light"/>
          <w:szCs w:val="21"/>
          <w:lang w:val="en-US" w:eastAsia="zh-CN"/>
        </w:rPr>
        <w:t>铜铝废旧物资售卖</w:t>
      </w:r>
      <w:r>
        <w:rPr>
          <w:rFonts w:hint="eastAsia" w:ascii="MiSans Light" w:hAnsi="MiSans Light" w:eastAsia="MiSans Light"/>
          <w:szCs w:val="21"/>
        </w:rPr>
        <w:t>项目招标的</w:t>
      </w:r>
      <w:r>
        <w:rPr>
          <w:rFonts w:hint="eastAsia" w:ascii="MiSans Light" w:hAnsi="MiSans Light" w:eastAsia="MiSans Light"/>
          <w:szCs w:val="21"/>
          <w:u w:val="none"/>
        </w:rPr>
        <w:t>投标邀请函</w:t>
      </w:r>
      <w:r>
        <w:rPr>
          <w:rFonts w:hint="eastAsia" w:ascii="MiSans Light" w:hAnsi="MiSans Light" w:eastAsia="MiSans Light"/>
          <w:szCs w:val="21"/>
        </w:rPr>
        <w:t>（招标编号）</w:t>
      </w:r>
      <w:r>
        <w:rPr>
          <w:rFonts w:hint="eastAsia" w:ascii="MiSans Light" w:hAnsi="MiSans Light" w:eastAsia="MiSans Light"/>
          <w:szCs w:val="21"/>
          <w:u w:val="single"/>
        </w:rPr>
        <w:t>FJKD-2026012404-00</w:t>
      </w:r>
      <w:r>
        <w:rPr>
          <w:rFonts w:hint="eastAsia" w:ascii="MiSans Light" w:hAnsi="MiSans Light" w:eastAsia="MiSans Light"/>
          <w:szCs w:val="21"/>
        </w:rPr>
        <w:t>，并且：</w:t>
      </w:r>
    </w:p>
    <w:p w14:paraId="04F33F06">
      <w:pPr>
        <w:snapToGrid w:val="0"/>
        <w:rPr>
          <w:rFonts w:ascii="MiSans Light" w:hAnsi="MiSans Light" w:eastAsia="MiSans Light"/>
          <w:szCs w:val="21"/>
        </w:rPr>
      </w:pPr>
      <w:r>
        <w:rPr>
          <w:rFonts w:hint="eastAsia" w:ascii="MiSans Light" w:hAnsi="MiSans Light" w:eastAsia="MiSans Light"/>
          <w:szCs w:val="21"/>
        </w:rPr>
        <w:t>1、我方已收到招标文件，所有文件齐全完整。</w:t>
      </w:r>
    </w:p>
    <w:p w14:paraId="0317C4E6">
      <w:pPr>
        <w:snapToGrid w:val="0"/>
        <w:rPr>
          <w:rFonts w:ascii="MiSans Light" w:hAnsi="MiSans Light" w:eastAsia="MiSans Light"/>
          <w:szCs w:val="21"/>
        </w:rPr>
      </w:pPr>
      <w:r>
        <w:rPr>
          <w:rFonts w:hint="eastAsia" w:ascii="MiSans Light" w:hAnsi="MiSans Light" w:eastAsia="MiSans Light"/>
          <w:szCs w:val="21"/>
        </w:rPr>
        <w:t>2、确认开标时间为202</w:t>
      </w:r>
      <w:r>
        <w:rPr>
          <w:rFonts w:hint="eastAsia" w:ascii="MiSans Light" w:hAnsi="MiSans Light" w:eastAsia="MiSans Light"/>
          <w:szCs w:val="21"/>
          <w:lang w:val="en-US" w:eastAsia="zh-CN"/>
        </w:rPr>
        <w:t>6</w:t>
      </w:r>
      <w:r>
        <w:rPr>
          <w:rFonts w:hint="eastAsia" w:ascii="MiSans Light" w:hAnsi="MiSans Light" w:eastAsia="MiSans Light"/>
          <w:szCs w:val="21"/>
        </w:rPr>
        <w:t>年0</w:t>
      </w:r>
      <w:r>
        <w:rPr>
          <w:rFonts w:hint="eastAsia" w:ascii="MiSans Light" w:hAnsi="MiSans Light" w:eastAsia="MiSans Light"/>
          <w:szCs w:val="21"/>
          <w:lang w:val="en-US" w:eastAsia="zh-CN"/>
        </w:rPr>
        <w:t>2</w:t>
      </w:r>
      <w:r>
        <w:rPr>
          <w:rFonts w:hint="eastAsia" w:ascii="MiSans Light" w:hAnsi="MiSans Light" w:eastAsia="MiSans Light"/>
          <w:szCs w:val="21"/>
        </w:rPr>
        <w:t>月</w:t>
      </w:r>
      <w:r>
        <w:rPr>
          <w:rFonts w:hint="eastAsia" w:ascii="MiSans Light" w:hAnsi="MiSans Light" w:eastAsia="MiSans Light"/>
          <w:szCs w:val="21"/>
          <w:lang w:val="en-US" w:eastAsia="zh-CN"/>
        </w:rPr>
        <w:t>08</w:t>
      </w:r>
      <w:r>
        <w:rPr>
          <w:rFonts w:hint="eastAsia" w:ascii="MiSans Light" w:hAnsi="MiSans Light" w:eastAsia="MiSans Light"/>
          <w:szCs w:val="21"/>
        </w:rPr>
        <w:t>日，我方将派员准时参加。</w:t>
      </w:r>
    </w:p>
    <w:p w14:paraId="61498C17">
      <w:pPr>
        <w:snapToGrid w:val="0"/>
        <w:rPr>
          <w:rFonts w:ascii="MiSans Light" w:hAnsi="MiSans Light" w:eastAsia="MiSans Light"/>
          <w:szCs w:val="21"/>
        </w:rPr>
      </w:pPr>
    </w:p>
    <w:p w14:paraId="3FDBF959">
      <w:pPr>
        <w:snapToGrid w:val="0"/>
        <w:ind w:firstLine="5880" w:firstLineChars="2800"/>
        <w:rPr>
          <w:rFonts w:ascii="MiSans Light" w:hAnsi="MiSans Light" w:eastAsia="MiSans Light"/>
          <w:szCs w:val="21"/>
        </w:rPr>
      </w:pPr>
      <w:r>
        <w:rPr>
          <w:rFonts w:hint="eastAsia" w:ascii="MiSans Light" w:hAnsi="MiSans Light" w:eastAsia="MiSans Light"/>
          <w:szCs w:val="21"/>
        </w:rPr>
        <w:t>单位：</w:t>
      </w:r>
    </w:p>
    <w:p w14:paraId="2D015EE1">
      <w:pPr>
        <w:snapToGrid w:val="0"/>
        <w:rPr>
          <w:rFonts w:ascii="MiSans Light" w:hAnsi="MiSans Light" w:eastAsia="MiSans Light"/>
          <w:szCs w:val="21"/>
        </w:rPr>
      </w:pPr>
    </w:p>
    <w:p w14:paraId="48605515">
      <w:pPr>
        <w:snapToGrid w:val="0"/>
        <w:ind w:firstLine="5880" w:firstLineChars="2800"/>
        <w:rPr>
          <w:rFonts w:ascii="MiSans Light" w:hAnsi="MiSans Light" w:eastAsia="MiSans Light"/>
          <w:szCs w:val="21"/>
        </w:rPr>
      </w:pPr>
      <w:r>
        <w:rPr>
          <w:rFonts w:hint="eastAsia" w:ascii="MiSans Light" w:hAnsi="MiSans Light" w:eastAsia="MiSans Light"/>
          <w:szCs w:val="21"/>
        </w:rPr>
        <w:t>法定代表人（或授权人）</w:t>
      </w:r>
    </w:p>
    <w:p w14:paraId="66C63DE6">
      <w:pPr>
        <w:snapToGrid w:val="0"/>
        <w:rPr>
          <w:rFonts w:ascii="MiSans Light" w:hAnsi="MiSans Light" w:eastAsia="MiSans Light"/>
          <w:szCs w:val="21"/>
        </w:rPr>
      </w:pPr>
    </w:p>
    <w:p w14:paraId="56F74624">
      <w:pPr>
        <w:snapToGrid w:val="0"/>
        <w:ind w:firstLine="5880" w:firstLineChars="2800"/>
        <w:rPr>
          <w:rFonts w:ascii="宋体" w:hAnsi="宋体"/>
          <w:sz w:val="28"/>
          <w:szCs w:val="28"/>
        </w:rPr>
      </w:pPr>
      <w:r>
        <w:rPr>
          <w:rFonts w:hint="eastAsia" w:ascii="MiSans Light" w:hAnsi="MiSans Light" w:eastAsia="MiSans Light"/>
          <w:szCs w:val="21"/>
        </w:rPr>
        <w:t>日期：      年   月   日</w:t>
      </w:r>
    </w:p>
    <w:p w14:paraId="5DAA9999">
      <w:pPr>
        <w:pStyle w:val="3"/>
      </w:pPr>
    </w:p>
    <w:p w14:paraId="14349CC1"/>
    <w:p w14:paraId="3C151499">
      <w:pPr>
        <w:snapToGrid w:val="0"/>
        <w:jc w:val="right"/>
        <w:rPr>
          <w:rFonts w:ascii="MiSans Light" w:hAnsi="MiSans Light" w:eastAsia="MiSans Light"/>
          <w:szCs w:val="21"/>
        </w:rPr>
      </w:pPr>
    </w:p>
    <w:p w14:paraId="49F8CA33">
      <w:pPr>
        <w:pStyle w:val="3"/>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Sans Light">
    <w:altName w:val="宋体"/>
    <w:panose1 w:val="00000000000000000000"/>
    <w:charset w:val="86"/>
    <w:family w:val="auto"/>
    <w:pitch w:val="default"/>
    <w:sig w:usb0="00000000" w:usb1="00000000" w:usb2="00000016" w:usb3="00000000" w:csb0="00040001" w:csb1="00000000"/>
  </w:font>
  <w:font w:name="楷体">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49C369">
    <w:pPr>
      <w:pStyle w:val="3"/>
      <w:jc w:val="center"/>
      <w:rPr>
        <w:rFonts w:ascii="Cambria" w:hAnsi="Cambria"/>
        <w:color w:val="4F81BD"/>
        <w:sz w:val="32"/>
        <w:szCs w:val="3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D97BE8">
    <w:pPr>
      <w:pStyle w:val="3"/>
      <w:jc w:val="center"/>
      <w:rPr>
        <w:rFonts w:ascii="Cambria" w:hAnsi="Cambria"/>
        <w:sz w:val="28"/>
        <w:szCs w:val="28"/>
      </w:rPr>
    </w:pPr>
    <w:r>
      <w:rPr>
        <w:rFonts w:ascii="Cambria" w:hAnsi="Cambria"/>
        <w:sz w:val="28"/>
        <w:szCs w:val="28"/>
        <w:lang w:val="zh-CN"/>
      </w:rPr>
      <w:t xml:space="preserve">~ </w:t>
    </w:r>
    <w:r>
      <w:rPr>
        <w:sz w:val="22"/>
        <w:szCs w:val="22"/>
      </w:rPr>
      <w:fldChar w:fldCharType="begin"/>
    </w:r>
    <w:r>
      <w:instrText xml:space="preserve">PAGE    \* MERGEFORMAT</w:instrText>
    </w:r>
    <w:r>
      <w:rPr>
        <w:sz w:val="22"/>
        <w:szCs w:val="22"/>
      </w:rPr>
      <w:fldChar w:fldCharType="separate"/>
    </w:r>
    <w:r>
      <w:rPr>
        <w:sz w:val="22"/>
        <w:szCs w:val="22"/>
      </w:rPr>
      <w:t>101</w:t>
    </w:r>
    <w:r>
      <w:rPr>
        <w:rFonts w:ascii="Cambria" w:hAnsi="Cambria"/>
        <w:sz w:val="28"/>
        <w:szCs w:val="28"/>
      </w:rPr>
      <w:fldChar w:fldCharType="end"/>
    </w:r>
    <w:r>
      <w:rPr>
        <w:rFonts w:ascii="Cambria" w:hAnsi="Cambria"/>
        <w:sz w:val="28"/>
        <w:szCs w:val="28"/>
        <w:lang w:val="zh-CN"/>
      </w:rPr>
      <w:t xml:space="preserve"> ~</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A966B57"/>
    <w:rsid w:val="05520D5E"/>
    <w:rsid w:val="0C00327C"/>
    <w:rsid w:val="0FB24128"/>
    <w:rsid w:val="158463E0"/>
    <w:rsid w:val="2C730731"/>
    <w:rsid w:val="309050AB"/>
    <w:rsid w:val="43E95667"/>
    <w:rsid w:val="5A966B57"/>
    <w:rsid w:val="722219EF"/>
    <w:rsid w:val="759667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3"/>
    <w:basedOn w:val="1"/>
    <w:next w:val="1"/>
    <w:qFormat/>
    <w:uiPriority w:val="0"/>
    <w:pPr>
      <w:keepNext/>
      <w:keepLines/>
      <w:spacing w:before="260" w:after="260" w:line="416" w:lineRule="auto"/>
      <w:outlineLvl w:val="2"/>
    </w:pPr>
    <w:rPr>
      <w:b/>
      <w:bCs/>
      <w:sz w:val="32"/>
      <w:szCs w:val="32"/>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Hyperlink"/>
    <w:basedOn w:val="7"/>
    <w:qFormat/>
    <w:uiPriority w:val="0"/>
    <w:rPr>
      <w:color w:val="0000FF"/>
      <w:u w:val="single"/>
    </w:rPr>
  </w:style>
  <w:style w:type="paragraph" w:customStyle="1" w:styleId="9">
    <w:name w:val="p19"/>
    <w:basedOn w:val="1"/>
    <w:qFormat/>
    <w:uiPriority w:val="0"/>
    <w:pPr>
      <w:widowControl/>
    </w:pPr>
    <w:rPr>
      <w:kern w:val="0"/>
      <w:szCs w:val="21"/>
    </w:rPr>
  </w:style>
  <w:style w:type="character" w:customStyle="1" w:styleId="10">
    <w:name w:val="NormalCharacter"/>
    <w:qFormat/>
    <w:uiPriority w:val="0"/>
  </w:style>
  <w:style w:type="character" w:customStyle="1" w:styleId="11">
    <w:name w:val="font11"/>
    <w:basedOn w:val="7"/>
    <w:qFormat/>
    <w:uiPriority w:val="0"/>
    <w:rPr>
      <w:rFonts w:hint="eastAsia" w:ascii="宋体" w:hAnsi="宋体" w:eastAsia="宋体" w:cs="宋体"/>
      <w:b/>
      <w:bCs/>
      <w:color w:val="000000"/>
      <w:sz w:val="24"/>
      <w:szCs w:val="24"/>
      <w:u w:val="none"/>
    </w:rPr>
  </w:style>
  <w:style w:type="character" w:customStyle="1" w:styleId="12">
    <w:name w:val="font61"/>
    <w:basedOn w:val="7"/>
    <w:qFormat/>
    <w:uiPriority w:val="0"/>
    <w:rPr>
      <w:rFonts w:hint="eastAsia" w:ascii="等线" w:hAnsi="等线" w:eastAsia="等线" w:cs="等线"/>
      <w:b/>
      <w:bCs/>
      <w:color w:val="000000"/>
      <w:sz w:val="24"/>
      <w:szCs w:val="24"/>
      <w:u w:val="none"/>
    </w:rPr>
  </w:style>
  <w:style w:type="character" w:customStyle="1" w:styleId="13">
    <w:name w:val="font112"/>
    <w:basedOn w:val="7"/>
    <w:qFormat/>
    <w:uiPriority w:val="0"/>
    <w:rPr>
      <w:rFonts w:hint="default" w:ascii="Segoe UI" w:hAnsi="Segoe UI" w:eastAsia="Segoe UI" w:cs="Segoe UI"/>
      <w:color w:val="404040"/>
      <w:sz w:val="23"/>
      <w:szCs w:val="23"/>
      <w:u w:val="none"/>
    </w:rPr>
  </w:style>
  <w:style w:type="character" w:customStyle="1" w:styleId="14">
    <w:name w:val="font81"/>
    <w:basedOn w:val="7"/>
    <w:qFormat/>
    <w:uiPriority w:val="0"/>
    <w:rPr>
      <w:rFonts w:hint="eastAsia" w:ascii="等线" w:hAnsi="等线" w:eastAsia="等线" w:cs="等线"/>
      <w:color w:val="000000"/>
      <w:sz w:val="24"/>
      <w:szCs w:val="24"/>
      <w:u w:val="none"/>
    </w:rPr>
  </w:style>
  <w:style w:type="paragraph" w:customStyle="1" w:styleId="15">
    <w:name w:val="_Style 13"/>
    <w:qFormat/>
    <w:uiPriority w:val="0"/>
    <w:pPr>
      <w:spacing w:before="120" w:after="120" w:line="288" w:lineRule="auto"/>
      <w:ind w:left="0"/>
      <w:jc w:val="left"/>
    </w:pPr>
    <w:rPr>
      <w:rFonts w:ascii="Arial" w:hAnsi="Arial" w:eastAsia="等线" w:cs="Arial"/>
      <w:sz w:val="22"/>
      <w:szCs w:val="2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3962</Words>
  <Characters>4260</Characters>
  <Lines>0</Lines>
  <Paragraphs>0</Paragraphs>
  <TotalTime>8</TotalTime>
  <ScaleCrop>false</ScaleCrop>
  <LinksUpToDate>false</LinksUpToDate>
  <CharactersWithSpaces>4552</CharactersWithSpaces>
  <Application>WPS Office_12.1.0.24031_F1E327BC-269C-435d-A152-05C5408002CA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2025-09-04T15:20:00Z</dcterms:created>
  <dc:creator>Pessimist</dc:creator>
  <cp:lastModifiedBy>呼噜噜</cp:lastModifiedBy>
  <dcterms:modified xsi:type="dcterms:W3CDTF">2026-01-27T03:05:31Z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2052-12.1.0.24031</vt:lpwstr>
  </property>
  <property fmtid="{D5CDD505-2E9C-101B-9397-08002B2CF9AE}" pid="3" name="ICV">
    <vt:lpwstr>98A79808CBA047BAB24F685479D9F81F_11</vt:lpwstr>
  </property>
  <property fmtid="{D5CDD505-2E9C-101B-9397-08002B2CF9AE}" pid="4" name="KSOTemplateDocerSaveRecord">
    <vt:lpwstr>eyJoZGlkIjoiMDFhYzY1ZjAxZmZjODgwMWQ3ZjA4ZWE5ODcyZDQ2YjciLCJ1c2VySWQiOiIxNzQyMjUyOTgzIn0=</vt:lpwstr>
  </property>
</Properties>
</file>